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32" w:rsidRDefault="00DD476F" w:rsidP="00DD476F">
      <w:pPr>
        <w:spacing w:after="0" w:line="240" w:lineRule="auto"/>
        <w:jc w:val="center"/>
        <w:rPr>
          <w:b/>
          <w:lang w:val="en-US"/>
        </w:rPr>
      </w:pPr>
      <w:r>
        <w:rPr>
          <w:noProof/>
          <w:lang w:val="fr-BE" w:eastAsia="fr-BE"/>
        </w:rPr>
        <w:drawing>
          <wp:inline distT="0" distB="0" distL="0" distR="0" wp14:anchorId="066965F7" wp14:editId="1479576D">
            <wp:extent cx="1571625" cy="14192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625" cy="1419225"/>
                    </a:xfrm>
                    <a:prstGeom prst="rect">
                      <a:avLst/>
                    </a:prstGeom>
                  </pic:spPr>
                </pic:pic>
              </a:graphicData>
            </a:graphic>
          </wp:inline>
        </w:drawing>
      </w:r>
    </w:p>
    <w:p w:rsidR="00DD476F" w:rsidRDefault="00DD476F" w:rsidP="00DD476F">
      <w:pPr>
        <w:spacing w:after="0" w:line="240" w:lineRule="auto"/>
        <w:jc w:val="both"/>
        <w:rPr>
          <w:b/>
          <w:lang w:val="en-US"/>
        </w:rPr>
      </w:pPr>
    </w:p>
    <w:p w:rsidR="00DD476F" w:rsidRDefault="00DD476F" w:rsidP="00DD476F">
      <w:pPr>
        <w:widowControl w:val="0"/>
        <w:autoSpaceDE w:val="0"/>
        <w:autoSpaceDN w:val="0"/>
        <w:adjustRightInd w:val="0"/>
        <w:spacing w:after="0" w:line="240" w:lineRule="auto"/>
        <w:ind w:left="720"/>
        <w:rPr>
          <w:rFonts w:ascii="Arial" w:hAnsi="Arial" w:cs="Arial"/>
          <w:sz w:val="24"/>
          <w:lang w:val="en-US"/>
        </w:rPr>
      </w:pPr>
    </w:p>
    <w:p w:rsidR="00DD476F" w:rsidRDefault="00DD476F" w:rsidP="00DD476F">
      <w:pPr>
        <w:widowControl w:val="0"/>
        <w:numPr>
          <w:ilvl w:val="0"/>
          <w:numId w:val="2"/>
        </w:numPr>
        <w:autoSpaceDE w:val="0"/>
        <w:autoSpaceDN w:val="0"/>
        <w:adjustRightInd w:val="0"/>
        <w:spacing w:after="0" w:line="240" w:lineRule="auto"/>
        <w:jc w:val="center"/>
        <w:rPr>
          <w:rFonts w:ascii="Arial" w:hAnsi="Arial" w:cs="Arial"/>
          <w:sz w:val="24"/>
          <w:lang w:val="en-US"/>
        </w:rPr>
      </w:pPr>
      <w:r>
        <w:rPr>
          <w:rFonts w:ascii="Arial" w:hAnsi="Arial" w:cs="Arial"/>
          <w:sz w:val="24"/>
          <w:lang w:val="en-US"/>
        </w:rPr>
        <w:t xml:space="preserve">press release </w:t>
      </w:r>
      <w:r w:rsidR="00EA3D6F">
        <w:rPr>
          <w:rFonts w:ascii="Arial" w:hAnsi="Arial" w:cs="Arial"/>
          <w:sz w:val="24"/>
          <w:lang w:val="en-US"/>
        </w:rPr>
        <w:t xml:space="preserve">  </w:t>
      </w:r>
      <w:r>
        <w:rPr>
          <w:rFonts w:ascii="Arial" w:hAnsi="Arial" w:cs="Arial"/>
          <w:sz w:val="24"/>
          <w:lang w:val="en-US"/>
        </w:rPr>
        <w:t>–</w:t>
      </w:r>
    </w:p>
    <w:p w:rsidR="00DD476F" w:rsidRDefault="00DD476F" w:rsidP="00DD476F">
      <w:pPr>
        <w:spacing w:after="0" w:line="240" w:lineRule="auto"/>
        <w:jc w:val="both"/>
        <w:rPr>
          <w:b/>
          <w:lang w:val="en-US"/>
        </w:rPr>
      </w:pPr>
    </w:p>
    <w:p w:rsidR="00DD476F" w:rsidRDefault="00DD476F" w:rsidP="00DD476F">
      <w:pPr>
        <w:spacing w:after="0" w:line="240" w:lineRule="auto"/>
        <w:jc w:val="both"/>
        <w:rPr>
          <w:b/>
          <w:lang w:val="en-US"/>
        </w:rPr>
      </w:pPr>
    </w:p>
    <w:p w:rsidR="00EA3D6F" w:rsidRPr="00EA3D6F" w:rsidRDefault="00EA3D6F" w:rsidP="00EA3D6F">
      <w:pPr>
        <w:spacing w:after="0" w:line="240" w:lineRule="auto"/>
        <w:jc w:val="both"/>
        <w:rPr>
          <w:rFonts w:ascii="Arial" w:hAnsi="Arial"/>
          <w:b/>
          <w:sz w:val="20"/>
          <w:szCs w:val="20"/>
          <w:lang w:val="en-US"/>
        </w:rPr>
      </w:pPr>
      <w:r w:rsidRPr="00EA3D6F">
        <w:rPr>
          <w:rFonts w:ascii="Arial" w:hAnsi="Arial"/>
          <w:b/>
          <w:sz w:val="20"/>
          <w:szCs w:val="20"/>
          <w:lang w:val="en-US"/>
        </w:rPr>
        <w:t xml:space="preserve">European Long-Term Investors Association to reinforce cooperation to ensure better use of public resources to foster growth </w:t>
      </w:r>
    </w:p>
    <w:p w:rsidR="00EA3D6F" w:rsidRDefault="00EA3D6F" w:rsidP="00EA3D6F">
      <w:pPr>
        <w:spacing w:after="0" w:line="240" w:lineRule="auto"/>
        <w:jc w:val="both"/>
        <w:rPr>
          <w:rFonts w:ascii="Arial" w:hAnsi="Arial"/>
          <w:sz w:val="20"/>
          <w:szCs w:val="20"/>
          <w:lang w:val="en-US"/>
        </w:rPr>
      </w:pPr>
    </w:p>
    <w:p w:rsidR="00EA3D6F" w:rsidRPr="00EA3D6F" w:rsidRDefault="00EA3D6F" w:rsidP="00EA3D6F">
      <w:pPr>
        <w:spacing w:after="0" w:line="240" w:lineRule="auto"/>
        <w:jc w:val="both"/>
        <w:rPr>
          <w:rFonts w:ascii="Arial" w:hAnsi="Arial"/>
          <w:sz w:val="20"/>
          <w:szCs w:val="20"/>
          <w:lang w:val="en-US"/>
        </w:rPr>
      </w:pPr>
      <w:r w:rsidRPr="00EA3D6F">
        <w:rPr>
          <w:rFonts w:ascii="Arial" w:hAnsi="Arial"/>
          <w:sz w:val="20"/>
          <w:szCs w:val="20"/>
          <w:lang w:val="en-US"/>
        </w:rPr>
        <w:t>The General Assembly of the European Long-Term Investors’ Association (ELTI) meeting in Prague this week called for greater cooperation between Europe’s long-term financing institutions to reinforce support for infrastructure, innovation and SME investment, needed for economic recovery, sustainable growth and job creation across the EU.</w:t>
      </w:r>
    </w:p>
    <w:p w:rsidR="00EA3D6F" w:rsidRDefault="00EA3D6F" w:rsidP="00EA3D6F">
      <w:pPr>
        <w:spacing w:after="0" w:line="240" w:lineRule="auto"/>
        <w:jc w:val="both"/>
        <w:rPr>
          <w:rFonts w:ascii="Arial" w:hAnsi="Arial"/>
          <w:sz w:val="20"/>
          <w:szCs w:val="20"/>
          <w:lang w:val="en-US"/>
        </w:rPr>
      </w:pPr>
    </w:p>
    <w:p w:rsidR="00EA3D6F" w:rsidRPr="00EA3D6F" w:rsidRDefault="00EA3D6F" w:rsidP="00EA3D6F">
      <w:pPr>
        <w:spacing w:after="0" w:line="240" w:lineRule="auto"/>
        <w:jc w:val="both"/>
        <w:rPr>
          <w:rFonts w:ascii="Arial" w:hAnsi="Arial"/>
          <w:sz w:val="20"/>
          <w:szCs w:val="20"/>
          <w:lang w:val="en-US"/>
        </w:rPr>
      </w:pPr>
      <w:r w:rsidRPr="00EA3D6F">
        <w:rPr>
          <w:rFonts w:ascii="Arial" w:hAnsi="Arial"/>
          <w:sz w:val="20"/>
          <w:szCs w:val="20"/>
          <w:lang w:val="en-US"/>
        </w:rPr>
        <w:t>“Enhanced cooperation amongst Europe’s long-term investors is essential to enabling more efficient use of scarce public resources and ensuring investment crucial to ensuring Europe’s competiveness. This year’s ELTI annual meeting allowed valuable experience from across Europe to be shared that will help ELTI members to unlock much needed additional private sector support for new projects.” said Werner Hoyer, European Investment Bank President and current ELTI President.</w:t>
      </w:r>
    </w:p>
    <w:p w:rsidR="00EA3D6F" w:rsidRDefault="00EA3D6F" w:rsidP="00EA3D6F">
      <w:pPr>
        <w:spacing w:after="0" w:line="240" w:lineRule="auto"/>
        <w:jc w:val="both"/>
        <w:rPr>
          <w:rFonts w:ascii="Arial" w:hAnsi="Arial"/>
          <w:sz w:val="20"/>
          <w:szCs w:val="20"/>
          <w:lang w:val="en-US"/>
        </w:rPr>
      </w:pPr>
    </w:p>
    <w:p w:rsidR="00EA3D6F" w:rsidRPr="00EA3D6F" w:rsidRDefault="00EA3D6F" w:rsidP="00EA3D6F">
      <w:pPr>
        <w:spacing w:after="0" w:line="240" w:lineRule="auto"/>
        <w:jc w:val="both"/>
        <w:rPr>
          <w:rFonts w:ascii="Arial" w:hAnsi="Arial"/>
          <w:sz w:val="20"/>
          <w:szCs w:val="20"/>
          <w:lang w:val="en-US"/>
        </w:rPr>
      </w:pPr>
      <w:r w:rsidRPr="00EA3D6F">
        <w:rPr>
          <w:rFonts w:ascii="Arial" w:hAnsi="Arial"/>
          <w:sz w:val="20"/>
          <w:szCs w:val="20"/>
          <w:lang w:val="en-US"/>
        </w:rPr>
        <w:t xml:space="preserve">Senior representatives of ELTI member organisations used the occasion to share experience and outline successful ways of making better use of scarce public resources to stimulate economic growth and employment across Europe. </w:t>
      </w:r>
    </w:p>
    <w:p w:rsidR="00EA3D6F" w:rsidRDefault="00EA3D6F" w:rsidP="00EA3D6F">
      <w:pPr>
        <w:spacing w:after="0" w:line="240" w:lineRule="auto"/>
        <w:jc w:val="both"/>
        <w:rPr>
          <w:rFonts w:ascii="Arial" w:hAnsi="Arial"/>
          <w:sz w:val="20"/>
          <w:szCs w:val="20"/>
          <w:lang w:val="en-US"/>
        </w:rPr>
      </w:pPr>
    </w:p>
    <w:p w:rsidR="00EA3D6F" w:rsidRPr="00EA3D6F" w:rsidRDefault="00EA3D6F" w:rsidP="00EA3D6F">
      <w:pPr>
        <w:spacing w:after="0" w:line="240" w:lineRule="auto"/>
        <w:jc w:val="both"/>
        <w:rPr>
          <w:rFonts w:ascii="Arial" w:hAnsi="Arial"/>
          <w:sz w:val="20"/>
          <w:szCs w:val="20"/>
          <w:lang w:val="en-US"/>
        </w:rPr>
      </w:pPr>
      <w:r w:rsidRPr="00EA3D6F">
        <w:rPr>
          <w:rFonts w:ascii="Arial" w:hAnsi="Arial"/>
          <w:sz w:val="20"/>
          <w:szCs w:val="20"/>
          <w:lang w:val="en-US"/>
        </w:rPr>
        <w:t xml:space="preserve">Hosted by the </w:t>
      </w:r>
      <w:r w:rsidRPr="00EA3D6F">
        <w:rPr>
          <w:rFonts w:ascii="Arial" w:hAnsi="Arial"/>
          <w:sz w:val="20"/>
          <w:szCs w:val="20"/>
          <w:lang w:val="en"/>
        </w:rPr>
        <w:t xml:space="preserve">Czech-Moravian Guarantee and Development Bank (CMZRB), this year’s annual </w:t>
      </w:r>
      <w:r w:rsidRPr="00EA3D6F">
        <w:rPr>
          <w:rFonts w:ascii="Arial" w:hAnsi="Arial"/>
          <w:sz w:val="20"/>
          <w:szCs w:val="20"/>
          <w:lang w:val="en-US"/>
        </w:rPr>
        <w:t xml:space="preserve">meeting gathered ELTI members representing national promotional banks in a number of EU member states as well as international and regional financial institutions. All institutions share a common objective of fostering sustainable long-term investment in the European real economy. </w:t>
      </w:r>
    </w:p>
    <w:p w:rsidR="00EA3D6F" w:rsidRDefault="00EA3D6F" w:rsidP="00EA3D6F">
      <w:pPr>
        <w:spacing w:after="0" w:line="240" w:lineRule="auto"/>
        <w:jc w:val="both"/>
        <w:rPr>
          <w:rFonts w:ascii="Arial" w:hAnsi="Arial"/>
          <w:sz w:val="20"/>
          <w:szCs w:val="20"/>
          <w:lang w:val="en-US"/>
        </w:rPr>
      </w:pPr>
    </w:p>
    <w:p w:rsidR="00EA3D6F" w:rsidRPr="00EA3D6F" w:rsidRDefault="00EA3D6F" w:rsidP="00EA3D6F">
      <w:pPr>
        <w:spacing w:after="0" w:line="240" w:lineRule="auto"/>
        <w:jc w:val="both"/>
        <w:rPr>
          <w:rFonts w:ascii="Arial" w:hAnsi="Arial"/>
          <w:sz w:val="20"/>
          <w:szCs w:val="20"/>
          <w:lang w:val="en-US"/>
        </w:rPr>
      </w:pPr>
      <w:r w:rsidRPr="00EA3D6F">
        <w:rPr>
          <w:rFonts w:ascii="Arial" w:hAnsi="Arial"/>
          <w:sz w:val="20"/>
          <w:szCs w:val="20"/>
          <w:lang w:val="en-US"/>
        </w:rPr>
        <w:t xml:space="preserve">The General Assembly of ELTI elected as its new Vice-President Vladimir Kristijan, President of the Croatian Bank for Reconstruction and Development (HBOR) and also admitted the Nordic Investment Bank (NIB) and the Belgian SFPI-FPIM as new members. </w:t>
      </w:r>
    </w:p>
    <w:p w:rsidR="00DD476F" w:rsidRPr="00EA3D6F" w:rsidRDefault="00DD476F" w:rsidP="00EA3D6F">
      <w:pPr>
        <w:spacing w:after="0" w:line="240" w:lineRule="auto"/>
        <w:jc w:val="both"/>
        <w:rPr>
          <w:rFonts w:ascii="Arial" w:hAnsi="Arial"/>
          <w:sz w:val="20"/>
          <w:szCs w:val="20"/>
          <w:lang w:val="en-US"/>
        </w:rPr>
      </w:pPr>
    </w:p>
    <w:p w:rsidR="00EA3D6F" w:rsidRDefault="00EA3D6F" w:rsidP="00DD476F">
      <w:pPr>
        <w:spacing w:after="0" w:line="240" w:lineRule="auto"/>
        <w:jc w:val="both"/>
        <w:rPr>
          <w:rFonts w:ascii="Arial" w:hAnsi="Arial"/>
          <w:sz w:val="20"/>
          <w:szCs w:val="20"/>
          <w:lang w:val="en-US"/>
        </w:rPr>
      </w:pPr>
    </w:p>
    <w:p w:rsidR="00DD476F" w:rsidRPr="00EA3D6F" w:rsidRDefault="00DD476F" w:rsidP="00DD476F">
      <w:pPr>
        <w:spacing w:after="0" w:line="240" w:lineRule="auto"/>
        <w:jc w:val="both"/>
        <w:rPr>
          <w:rFonts w:ascii="Arial" w:hAnsi="Arial"/>
          <w:sz w:val="20"/>
          <w:szCs w:val="20"/>
          <w:lang w:val="en-US"/>
        </w:rPr>
      </w:pPr>
      <w:r w:rsidRPr="00EA3D6F">
        <w:rPr>
          <w:rFonts w:ascii="Arial" w:hAnsi="Arial"/>
          <w:sz w:val="20"/>
          <w:szCs w:val="20"/>
          <w:lang w:val="en-US"/>
        </w:rPr>
        <w:t xml:space="preserve">Contact: </w:t>
      </w:r>
    </w:p>
    <w:p w:rsidR="00DD476F" w:rsidRPr="00EA3D6F" w:rsidRDefault="00DD476F" w:rsidP="00DD476F">
      <w:pPr>
        <w:spacing w:after="0" w:line="240" w:lineRule="auto"/>
        <w:jc w:val="both"/>
        <w:rPr>
          <w:rFonts w:ascii="Arial" w:hAnsi="Arial"/>
          <w:sz w:val="20"/>
          <w:szCs w:val="20"/>
          <w:lang w:val="es-ES_tradnl"/>
        </w:rPr>
      </w:pPr>
      <w:proofErr w:type="spellStart"/>
      <w:r w:rsidRPr="00EA3D6F">
        <w:rPr>
          <w:rFonts w:ascii="Arial" w:hAnsi="Arial"/>
          <w:sz w:val="20"/>
          <w:szCs w:val="20"/>
          <w:lang w:val="es-ES_tradnl"/>
        </w:rPr>
        <w:t>Secretary</w:t>
      </w:r>
      <w:proofErr w:type="spellEnd"/>
      <w:r w:rsidRPr="00EA3D6F">
        <w:rPr>
          <w:rFonts w:ascii="Arial" w:hAnsi="Arial"/>
          <w:sz w:val="20"/>
          <w:szCs w:val="20"/>
          <w:lang w:val="es-ES_tradnl"/>
        </w:rPr>
        <w:t>-General D. de Crayencour</w:t>
      </w:r>
    </w:p>
    <w:p w:rsidR="00DD476F" w:rsidRPr="00EA3D6F" w:rsidRDefault="005546E0" w:rsidP="00DD476F">
      <w:pPr>
        <w:spacing w:after="0" w:line="240" w:lineRule="auto"/>
        <w:jc w:val="both"/>
        <w:rPr>
          <w:rFonts w:ascii="Arial" w:hAnsi="Arial"/>
          <w:sz w:val="20"/>
          <w:szCs w:val="20"/>
          <w:u w:val="single"/>
          <w:lang w:val="es-ES_tradnl"/>
        </w:rPr>
      </w:pPr>
      <w:hyperlink r:id="rId7" w:history="1">
        <w:r w:rsidR="00DD476F" w:rsidRPr="00EA3D6F">
          <w:rPr>
            <w:rStyle w:val="Lienhypertexte"/>
            <w:rFonts w:ascii="Arial" w:hAnsi="Arial"/>
            <w:sz w:val="20"/>
            <w:szCs w:val="20"/>
            <w:lang w:val="es-ES_tradnl"/>
          </w:rPr>
          <w:t>decrayencour@eltia.eu</w:t>
        </w:r>
      </w:hyperlink>
    </w:p>
    <w:p w:rsidR="00DD476F" w:rsidRPr="00EA3D6F" w:rsidRDefault="005546E0" w:rsidP="00DD476F">
      <w:pPr>
        <w:spacing w:after="0" w:line="240" w:lineRule="auto"/>
        <w:jc w:val="both"/>
        <w:rPr>
          <w:rFonts w:ascii="Arial" w:hAnsi="Arial" w:cs="Arial"/>
          <w:sz w:val="20"/>
          <w:szCs w:val="20"/>
          <w:lang w:val="es-ES_tradnl"/>
        </w:rPr>
      </w:pPr>
      <w:hyperlink r:id="rId8" w:history="1">
        <w:r w:rsidR="00DD476F" w:rsidRPr="00EA3D6F">
          <w:rPr>
            <w:rStyle w:val="Lienhypertexte"/>
            <w:rFonts w:ascii="Arial" w:hAnsi="Arial" w:cs="Arial"/>
            <w:sz w:val="20"/>
            <w:szCs w:val="20"/>
            <w:lang w:val="es-ES_tradnl"/>
          </w:rPr>
          <w:t>http://www.eltia.eu/</w:t>
        </w:r>
      </w:hyperlink>
    </w:p>
    <w:p w:rsidR="00DD476F" w:rsidRPr="00DD476F" w:rsidRDefault="00DD476F" w:rsidP="00DD476F">
      <w:pPr>
        <w:spacing w:after="0" w:line="240" w:lineRule="auto"/>
        <w:rPr>
          <w:u w:val="single"/>
          <w:lang w:val="es-ES_tradnl"/>
        </w:rPr>
      </w:pPr>
    </w:p>
    <w:p w:rsidR="00DD476F" w:rsidRPr="00DD476F" w:rsidRDefault="00DD476F" w:rsidP="00DD476F">
      <w:pPr>
        <w:spacing w:after="0" w:line="240" w:lineRule="auto"/>
        <w:jc w:val="both"/>
        <w:rPr>
          <w:lang w:val="es-ES_tradnl"/>
        </w:rPr>
      </w:pPr>
    </w:p>
    <w:p w:rsidR="00E23AC1" w:rsidRDefault="00AC7F7B" w:rsidP="00DD476F">
      <w:pPr>
        <w:spacing w:after="0" w:line="240" w:lineRule="auto"/>
        <w:jc w:val="center"/>
        <w:rPr>
          <w:rFonts w:ascii="Arial" w:hAnsi="Arial" w:cs="Arial"/>
          <w:sz w:val="20"/>
          <w:lang w:val="en-US"/>
        </w:rPr>
      </w:pPr>
      <w:r>
        <w:rPr>
          <w:rFonts w:ascii="Arial" w:hAnsi="Arial" w:cs="Arial"/>
          <w:sz w:val="20"/>
          <w:lang w:val="en-US"/>
        </w:rPr>
        <w:t>***</w:t>
      </w:r>
    </w:p>
    <w:p w:rsidR="00E23AC1" w:rsidRDefault="00E23AC1" w:rsidP="00DD476F">
      <w:pPr>
        <w:spacing w:after="0" w:line="240" w:lineRule="auto"/>
        <w:jc w:val="both"/>
        <w:rPr>
          <w:rFonts w:ascii="Arial" w:hAnsi="Arial" w:cs="Arial"/>
          <w:sz w:val="20"/>
          <w:lang w:val="en-US"/>
        </w:rPr>
      </w:pPr>
    </w:p>
    <w:p w:rsidR="00DD476F" w:rsidRDefault="00DD476F" w:rsidP="00DD476F">
      <w:pPr>
        <w:spacing w:after="0" w:line="240" w:lineRule="auto"/>
        <w:jc w:val="both"/>
        <w:rPr>
          <w:rFonts w:ascii="Arial" w:hAnsi="Arial" w:cs="Arial"/>
          <w:sz w:val="20"/>
          <w:lang w:val="en-US"/>
        </w:rPr>
      </w:pPr>
    </w:p>
    <w:p w:rsidR="00E23AC1" w:rsidRDefault="00E23AC1" w:rsidP="00DD476F">
      <w:pPr>
        <w:spacing w:after="0" w:line="240" w:lineRule="auto"/>
        <w:jc w:val="both"/>
        <w:rPr>
          <w:rFonts w:ascii="Arial" w:hAnsi="Arial" w:cs="Arial"/>
          <w:sz w:val="20"/>
          <w:lang w:val="en-US"/>
        </w:rPr>
      </w:pPr>
    </w:p>
    <w:p w:rsidR="00EA3D6F" w:rsidRDefault="00EA3D6F" w:rsidP="00EA3D6F">
      <w:pPr>
        <w:spacing w:after="0"/>
        <w:jc w:val="both"/>
        <w:rPr>
          <w:rFonts w:ascii="Arial" w:hAnsi="Arial" w:cs="Arial"/>
          <w:sz w:val="20"/>
          <w:lang w:val="en-US"/>
        </w:rPr>
      </w:pPr>
      <w:r w:rsidRPr="00567B0F">
        <w:rPr>
          <w:rFonts w:ascii="Arial" w:hAnsi="Arial" w:cs="Arial"/>
          <w:sz w:val="20"/>
          <w:u w:val="single"/>
          <w:lang w:val="en-US"/>
        </w:rPr>
        <w:t>About ELTI</w:t>
      </w:r>
      <w:r>
        <w:rPr>
          <w:rFonts w:ascii="Arial" w:hAnsi="Arial" w:cs="Arial"/>
          <w:sz w:val="20"/>
          <w:lang w:val="en-US"/>
        </w:rPr>
        <w:t xml:space="preserve">: </w:t>
      </w:r>
      <w:r>
        <w:rPr>
          <w:rFonts w:ascii="Arial" w:hAnsi="Arial" w:cs="Arial"/>
          <w:i/>
          <w:sz w:val="20"/>
          <w:lang w:val="en-US"/>
        </w:rPr>
        <w:t>Launched after the publication of the European Commission Green Paper on the Long-Term financing of the European Economy, in July 2013, the Association gathers 22 European long-term financial institutions. With a combined balance sheet of € 2.3 trillion, ELTI’s goal is to promote long-term investment in close alignment with the objectives and initiatives developed by the European Union to foster sustainable, smart and inclusive growth and job creation.</w:t>
      </w:r>
      <w:r>
        <w:rPr>
          <w:rFonts w:ascii="Arial" w:hAnsi="Arial" w:cs="Arial"/>
          <w:sz w:val="20"/>
          <w:lang w:val="en-US"/>
        </w:rPr>
        <w:t xml:space="preserve"> </w:t>
      </w:r>
    </w:p>
    <w:p w:rsidR="00E23AC1" w:rsidRDefault="00E23AC1" w:rsidP="00DD476F">
      <w:pPr>
        <w:pStyle w:val="astandardp14"/>
        <w:rPr>
          <w:rStyle w:val="at3"/>
          <w:rFonts w:ascii="Arial" w:hAnsi="Arial" w:cs="Arial"/>
          <w:sz w:val="18"/>
          <w:u w:val="single"/>
          <w:lang w:val="en-US"/>
        </w:rPr>
      </w:pPr>
    </w:p>
    <w:p w:rsidR="00EF19CE" w:rsidRDefault="00EF19CE" w:rsidP="00DD476F">
      <w:pPr>
        <w:pStyle w:val="astandardp14"/>
        <w:rPr>
          <w:rStyle w:val="at3"/>
          <w:rFonts w:ascii="Arial" w:hAnsi="Arial" w:cs="Arial"/>
          <w:sz w:val="18"/>
          <w:u w:val="single"/>
          <w:lang w:val="en-US"/>
        </w:rPr>
      </w:pPr>
    </w:p>
    <w:p w:rsidR="005546E0" w:rsidRDefault="005546E0" w:rsidP="005546E0">
      <w:pPr>
        <w:pStyle w:val="astandardp14"/>
        <w:spacing w:line="276" w:lineRule="auto"/>
        <w:rPr>
          <w:rStyle w:val="at3"/>
          <w:rFonts w:ascii="Arial" w:hAnsi="Arial" w:cs="Arial"/>
          <w:sz w:val="18"/>
          <w:lang w:val="en-US"/>
        </w:rPr>
      </w:pPr>
      <w:r>
        <w:rPr>
          <w:rStyle w:val="at3"/>
          <w:rFonts w:ascii="Arial" w:hAnsi="Arial" w:cs="Arial"/>
          <w:sz w:val="18"/>
          <w:u w:val="single"/>
          <w:lang w:val="en-US"/>
        </w:rPr>
        <w:lastRenderedPageBreak/>
        <w:t>List of ELTI members (</w:t>
      </w:r>
      <w:r>
        <w:rPr>
          <w:rStyle w:val="at71"/>
          <w:rFonts w:ascii="Arial" w:hAnsi="Arial" w:cs="Arial"/>
          <w:sz w:val="18"/>
          <w:u w:val="single"/>
          <w:lang w:val="en-US"/>
        </w:rPr>
        <w:t>assets in brackets</w:t>
      </w:r>
      <w:r>
        <w:rPr>
          <w:rStyle w:val="at3"/>
          <w:rFonts w:ascii="Arial" w:hAnsi="Arial" w:cs="Arial"/>
          <w:sz w:val="18"/>
          <w:u w:val="single"/>
          <w:lang w:val="en-US"/>
        </w:rPr>
        <w:t>)</w:t>
      </w:r>
      <w:r>
        <w:rPr>
          <w:rStyle w:val="at3"/>
          <w:rFonts w:ascii="Arial" w:hAnsi="Arial" w:cs="Arial"/>
          <w:sz w:val="18"/>
          <w:lang w:val="en-US"/>
        </w:rPr>
        <w:t>:</w:t>
      </w:r>
    </w:p>
    <w:p w:rsidR="005546E0" w:rsidRPr="00D97F15" w:rsidRDefault="005546E0" w:rsidP="005546E0">
      <w:pPr>
        <w:pStyle w:val="astandardp14"/>
        <w:spacing w:line="276" w:lineRule="auto"/>
        <w:rPr>
          <w:rStyle w:val="at3"/>
          <w:rFonts w:ascii="Arial" w:hAnsi="Arial" w:cs="Arial"/>
          <w:sz w:val="18"/>
          <w:u w:val="single"/>
          <w:lang w:val="en-US"/>
        </w:rPr>
      </w:pPr>
    </w:p>
    <w:p w:rsidR="005546E0" w:rsidRPr="00D97F15" w:rsidRDefault="005546E0" w:rsidP="005546E0">
      <w:pPr>
        <w:pStyle w:val="astandardp14"/>
        <w:spacing w:line="276" w:lineRule="auto"/>
        <w:rPr>
          <w:rFonts w:ascii="Arial" w:hAnsi="Arial" w:cs="Arial"/>
          <w:sz w:val="18"/>
          <w:u w:val="single"/>
          <w:lang w:val="en-US"/>
        </w:rPr>
      </w:pPr>
      <w:r w:rsidRPr="00D97F15">
        <w:rPr>
          <w:rStyle w:val="at3"/>
          <w:rFonts w:ascii="Arial" w:hAnsi="Arial" w:cs="Arial"/>
          <w:sz w:val="18"/>
          <w:u w:val="single"/>
          <w:lang w:val="en-US"/>
        </w:rPr>
        <w:t>Full Members</w:t>
      </w:r>
    </w:p>
    <w:p w:rsidR="005546E0" w:rsidRDefault="005546E0" w:rsidP="005546E0">
      <w:pPr>
        <w:pStyle w:val="astandardp4"/>
        <w:numPr>
          <w:ilvl w:val="0"/>
          <w:numId w:val="1"/>
        </w:numPr>
        <w:spacing w:before="120" w:line="276" w:lineRule="auto"/>
        <w:rPr>
          <w:rFonts w:ascii="Arial" w:hAnsi="Arial" w:cs="Arial"/>
          <w:sz w:val="18"/>
          <w:lang w:val="en-US"/>
        </w:rPr>
      </w:pPr>
      <w:r>
        <w:rPr>
          <w:rStyle w:val="at3"/>
          <w:rFonts w:ascii="Arial" w:hAnsi="Arial" w:cs="Arial"/>
          <w:sz w:val="18"/>
          <w:lang w:val="en-US"/>
        </w:rPr>
        <w:t>Bulgaria:</w:t>
      </w:r>
      <w:r>
        <w:rPr>
          <w:rStyle w:val="at71"/>
          <w:rFonts w:ascii="Arial" w:hAnsi="Arial" w:cs="Arial"/>
          <w:sz w:val="18"/>
          <w:lang w:val="en-US"/>
        </w:rPr>
        <w:t xml:space="preserve"> Bulgarian Development Bank “BDB” (€ 0.850 </w:t>
      </w:r>
      <w:proofErr w:type="spellStart"/>
      <w:r>
        <w:rPr>
          <w:rStyle w:val="at71"/>
          <w:rFonts w:ascii="Arial" w:hAnsi="Arial" w:cs="Arial"/>
          <w:sz w:val="18"/>
          <w:lang w:val="en-US"/>
        </w:rPr>
        <w:t>bn</w:t>
      </w:r>
      <w:proofErr w:type="spellEnd"/>
      <w:r>
        <w:rPr>
          <w:rStyle w:val="at71"/>
          <w:rFonts w:ascii="Arial" w:hAnsi="Arial" w:cs="Arial"/>
          <w:sz w:val="18"/>
          <w:lang w:val="en-US"/>
        </w:rPr>
        <w:t>)</w:t>
      </w:r>
    </w:p>
    <w:p w:rsidR="005546E0" w:rsidRDefault="005546E0" w:rsidP="005546E0">
      <w:pPr>
        <w:pStyle w:val="astandardp4"/>
        <w:numPr>
          <w:ilvl w:val="0"/>
          <w:numId w:val="1"/>
        </w:numPr>
        <w:spacing w:before="120" w:line="276" w:lineRule="auto"/>
        <w:rPr>
          <w:rFonts w:ascii="Arial" w:hAnsi="Arial" w:cs="Arial"/>
          <w:sz w:val="18"/>
          <w:lang w:val="en-US"/>
        </w:rPr>
      </w:pPr>
      <w:r>
        <w:rPr>
          <w:rStyle w:val="at3"/>
          <w:rFonts w:ascii="Arial" w:hAnsi="Arial" w:cs="Arial"/>
          <w:sz w:val="18"/>
          <w:lang w:val="en-US"/>
        </w:rPr>
        <w:t>Croatia:</w:t>
      </w:r>
      <w:r>
        <w:rPr>
          <w:rStyle w:val="at71"/>
          <w:rFonts w:ascii="Arial" w:hAnsi="Arial" w:cs="Arial"/>
          <w:sz w:val="18"/>
          <w:lang w:val="en-US"/>
        </w:rPr>
        <w:t xml:space="preserve"> Croatian bank for reconstruction and Development “HBOR” (€ 3.4 </w:t>
      </w:r>
      <w:proofErr w:type="spellStart"/>
      <w:r>
        <w:rPr>
          <w:rStyle w:val="at71"/>
          <w:rFonts w:ascii="Arial" w:hAnsi="Arial" w:cs="Arial"/>
          <w:sz w:val="18"/>
          <w:lang w:val="en-US"/>
        </w:rPr>
        <w:t>bn</w:t>
      </w:r>
      <w:proofErr w:type="spellEnd"/>
      <w:r>
        <w:rPr>
          <w:rStyle w:val="at71"/>
          <w:rFonts w:ascii="Arial" w:hAnsi="Arial" w:cs="Arial"/>
          <w:sz w:val="18"/>
          <w:lang w:val="en-US"/>
        </w:rPr>
        <w:t>)</w:t>
      </w:r>
    </w:p>
    <w:p w:rsidR="005546E0" w:rsidRDefault="005546E0" w:rsidP="005546E0">
      <w:pPr>
        <w:pStyle w:val="astandardp4"/>
        <w:numPr>
          <w:ilvl w:val="0"/>
          <w:numId w:val="1"/>
        </w:numPr>
        <w:spacing w:before="120" w:line="276" w:lineRule="auto"/>
        <w:rPr>
          <w:rFonts w:ascii="Arial" w:hAnsi="Arial" w:cs="Arial"/>
          <w:sz w:val="18"/>
          <w:lang w:val="en-US"/>
        </w:rPr>
      </w:pPr>
      <w:r>
        <w:rPr>
          <w:rStyle w:val="at3"/>
          <w:rFonts w:ascii="Arial" w:hAnsi="Arial" w:cs="Arial"/>
          <w:sz w:val="18"/>
          <w:lang w:val="en-US"/>
        </w:rPr>
        <w:t>Czech Republic:</w:t>
      </w:r>
      <w:r>
        <w:rPr>
          <w:rStyle w:val="at71"/>
          <w:rFonts w:ascii="Arial" w:hAnsi="Arial" w:cs="Arial"/>
          <w:sz w:val="18"/>
          <w:lang w:val="en-US"/>
        </w:rPr>
        <w:t xml:space="preserve"> </w:t>
      </w:r>
      <w:proofErr w:type="spellStart"/>
      <w:r>
        <w:rPr>
          <w:rStyle w:val="at71"/>
          <w:rFonts w:ascii="Arial" w:hAnsi="Arial" w:cs="Arial"/>
          <w:sz w:val="18"/>
          <w:lang w:val="en-US"/>
        </w:rPr>
        <w:t>Ceskomoravska</w:t>
      </w:r>
      <w:proofErr w:type="spellEnd"/>
      <w:r>
        <w:rPr>
          <w:rStyle w:val="at71"/>
          <w:rFonts w:ascii="Arial" w:hAnsi="Arial" w:cs="Arial"/>
          <w:sz w:val="18"/>
          <w:lang w:val="en-US"/>
        </w:rPr>
        <w:t xml:space="preserve"> </w:t>
      </w:r>
      <w:proofErr w:type="spellStart"/>
      <w:r>
        <w:rPr>
          <w:rStyle w:val="at71"/>
          <w:rFonts w:ascii="Arial" w:hAnsi="Arial" w:cs="Arial"/>
          <w:sz w:val="18"/>
          <w:lang w:val="en-US"/>
        </w:rPr>
        <w:t>zarucni</w:t>
      </w:r>
      <w:proofErr w:type="spellEnd"/>
      <w:r>
        <w:rPr>
          <w:rStyle w:val="at71"/>
          <w:rFonts w:ascii="Arial" w:hAnsi="Arial" w:cs="Arial"/>
          <w:sz w:val="18"/>
          <w:lang w:val="en-US"/>
        </w:rPr>
        <w:t xml:space="preserve"> a </w:t>
      </w:r>
      <w:proofErr w:type="spellStart"/>
      <w:r>
        <w:rPr>
          <w:rStyle w:val="at71"/>
          <w:rFonts w:ascii="Arial" w:hAnsi="Arial" w:cs="Arial"/>
          <w:sz w:val="18"/>
          <w:lang w:val="en-US"/>
        </w:rPr>
        <w:t>rozvojova</w:t>
      </w:r>
      <w:proofErr w:type="spellEnd"/>
      <w:r>
        <w:rPr>
          <w:rStyle w:val="at71"/>
          <w:rFonts w:ascii="Arial" w:hAnsi="Arial" w:cs="Arial"/>
          <w:sz w:val="18"/>
          <w:lang w:val="en-US"/>
        </w:rPr>
        <w:t xml:space="preserve"> </w:t>
      </w:r>
      <w:proofErr w:type="spellStart"/>
      <w:r>
        <w:rPr>
          <w:rStyle w:val="at71"/>
          <w:rFonts w:ascii="Arial" w:hAnsi="Arial" w:cs="Arial"/>
          <w:sz w:val="18"/>
          <w:lang w:val="en-US"/>
        </w:rPr>
        <w:t>banka</w:t>
      </w:r>
      <w:proofErr w:type="spellEnd"/>
      <w:r>
        <w:rPr>
          <w:rStyle w:val="at71"/>
          <w:rFonts w:ascii="Arial" w:hAnsi="Arial" w:cs="Arial"/>
          <w:sz w:val="18"/>
          <w:lang w:val="en-US"/>
        </w:rPr>
        <w:t xml:space="preserve"> “CMZRB” (€ 4.4 </w:t>
      </w:r>
      <w:proofErr w:type="spellStart"/>
      <w:r>
        <w:rPr>
          <w:rStyle w:val="at71"/>
          <w:rFonts w:ascii="Arial" w:hAnsi="Arial" w:cs="Arial"/>
          <w:sz w:val="18"/>
          <w:lang w:val="en-US"/>
        </w:rPr>
        <w:t>bn</w:t>
      </w:r>
      <w:proofErr w:type="spellEnd"/>
      <w:r>
        <w:rPr>
          <w:rStyle w:val="at71"/>
          <w:rFonts w:ascii="Arial" w:hAnsi="Arial" w:cs="Arial"/>
          <w:sz w:val="18"/>
          <w:lang w:val="en-US"/>
        </w:rPr>
        <w:t>)</w:t>
      </w:r>
    </w:p>
    <w:p w:rsidR="005546E0" w:rsidRPr="007E0817" w:rsidRDefault="005546E0" w:rsidP="005546E0">
      <w:pPr>
        <w:pStyle w:val="astandardp4"/>
        <w:numPr>
          <w:ilvl w:val="0"/>
          <w:numId w:val="1"/>
        </w:numPr>
        <w:spacing w:before="120" w:line="276" w:lineRule="auto"/>
        <w:rPr>
          <w:rStyle w:val="at111"/>
          <w:rFonts w:ascii="Arial" w:hAnsi="Arial" w:cs="Arial"/>
          <w:i w:val="0"/>
          <w:iCs w:val="0"/>
          <w:sz w:val="18"/>
        </w:rPr>
      </w:pPr>
      <w:r>
        <w:rPr>
          <w:rStyle w:val="at10"/>
          <w:rFonts w:ascii="Arial" w:hAnsi="Arial" w:cs="Arial"/>
          <w:sz w:val="18"/>
        </w:rPr>
        <w:t>France:</w:t>
      </w:r>
      <w:r>
        <w:rPr>
          <w:rStyle w:val="at111"/>
          <w:rFonts w:ascii="Arial" w:hAnsi="Arial" w:cs="Arial"/>
          <w:sz w:val="18"/>
        </w:rPr>
        <w:t xml:space="preserve"> Caisse des Dépôts “CDC” (€ 287 </w:t>
      </w:r>
      <w:proofErr w:type="spellStart"/>
      <w:r>
        <w:rPr>
          <w:rStyle w:val="at111"/>
          <w:rFonts w:ascii="Arial" w:hAnsi="Arial" w:cs="Arial"/>
          <w:sz w:val="18"/>
        </w:rPr>
        <w:t>bn</w:t>
      </w:r>
      <w:proofErr w:type="spellEnd"/>
      <w:r>
        <w:rPr>
          <w:rStyle w:val="at111"/>
          <w:rFonts w:ascii="Arial" w:hAnsi="Arial" w:cs="Arial"/>
          <w:sz w:val="18"/>
        </w:rPr>
        <w:t>)</w:t>
      </w:r>
    </w:p>
    <w:p w:rsidR="005546E0" w:rsidRDefault="005546E0" w:rsidP="005546E0">
      <w:pPr>
        <w:pStyle w:val="astandardp4"/>
        <w:numPr>
          <w:ilvl w:val="0"/>
          <w:numId w:val="1"/>
        </w:numPr>
        <w:spacing w:before="120" w:line="276" w:lineRule="auto"/>
        <w:rPr>
          <w:rFonts w:ascii="Arial" w:hAnsi="Arial" w:cs="Arial"/>
          <w:sz w:val="18"/>
        </w:rPr>
      </w:pPr>
      <w:r w:rsidRPr="007E0817">
        <w:rPr>
          <w:rStyle w:val="at111"/>
          <w:rFonts w:ascii="Arial" w:hAnsi="Arial" w:cs="Arial"/>
          <w:i w:val="0"/>
          <w:sz w:val="18"/>
        </w:rPr>
        <w:t>France</w:t>
      </w:r>
      <w:r>
        <w:rPr>
          <w:rStyle w:val="at111"/>
          <w:rFonts w:ascii="Arial" w:hAnsi="Arial" w:cs="Arial"/>
          <w:sz w:val="18"/>
        </w:rPr>
        <w:t xml:space="preserve"> : BPI France (€ 19 </w:t>
      </w:r>
      <w:proofErr w:type="spellStart"/>
      <w:r>
        <w:rPr>
          <w:rStyle w:val="at111"/>
          <w:rFonts w:ascii="Arial" w:hAnsi="Arial" w:cs="Arial"/>
          <w:sz w:val="18"/>
        </w:rPr>
        <w:t>bn</w:t>
      </w:r>
      <w:proofErr w:type="spellEnd"/>
      <w:r>
        <w:rPr>
          <w:rStyle w:val="at111"/>
          <w:rFonts w:ascii="Arial" w:hAnsi="Arial" w:cs="Arial"/>
          <w:sz w:val="18"/>
        </w:rPr>
        <w:t>)</w:t>
      </w:r>
    </w:p>
    <w:p w:rsidR="005546E0" w:rsidRPr="009F22A8" w:rsidRDefault="005546E0" w:rsidP="005546E0">
      <w:pPr>
        <w:pStyle w:val="astandardp4"/>
        <w:numPr>
          <w:ilvl w:val="0"/>
          <w:numId w:val="1"/>
        </w:numPr>
        <w:spacing w:before="120" w:line="276" w:lineRule="auto"/>
        <w:rPr>
          <w:rStyle w:val="at3"/>
          <w:rFonts w:ascii="Arial" w:hAnsi="Arial" w:cs="Arial"/>
          <w:i/>
          <w:sz w:val="18"/>
          <w:lang w:val="en-US"/>
        </w:rPr>
      </w:pPr>
      <w:r>
        <w:rPr>
          <w:rStyle w:val="at3"/>
          <w:rFonts w:ascii="Arial" w:hAnsi="Arial" w:cs="Arial"/>
          <w:sz w:val="18"/>
          <w:lang w:val="en-US"/>
        </w:rPr>
        <w:t xml:space="preserve">Germany: </w:t>
      </w:r>
      <w:proofErr w:type="spellStart"/>
      <w:r>
        <w:rPr>
          <w:rStyle w:val="at3"/>
          <w:rFonts w:ascii="Arial" w:hAnsi="Arial" w:cs="Arial"/>
          <w:i/>
          <w:sz w:val="18"/>
          <w:lang w:val="en-US"/>
        </w:rPr>
        <w:t>KfW</w:t>
      </w:r>
      <w:proofErr w:type="spellEnd"/>
      <w:r>
        <w:rPr>
          <w:rStyle w:val="at3"/>
          <w:rFonts w:ascii="Arial" w:hAnsi="Arial" w:cs="Arial"/>
          <w:i/>
          <w:sz w:val="18"/>
          <w:lang w:val="en-US"/>
        </w:rPr>
        <w:t xml:space="preserve"> (€ 465</w:t>
      </w:r>
      <w:r w:rsidRPr="009F22A8">
        <w:rPr>
          <w:rStyle w:val="at3"/>
          <w:rFonts w:ascii="Arial" w:hAnsi="Arial" w:cs="Arial"/>
          <w:i/>
          <w:sz w:val="18"/>
          <w:lang w:val="en-US"/>
        </w:rPr>
        <w:t xml:space="preserve"> </w:t>
      </w:r>
      <w:proofErr w:type="spellStart"/>
      <w:r w:rsidRPr="009F22A8">
        <w:rPr>
          <w:rStyle w:val="at3"/>
          <w:rFonts w:ascii="Arial" w:hAnsi="Arial" w:cs="Arial"/>
          <w:i/>
          <w:sz w:val="18"/>
          <w:lang w:val="en-US"/>
        </w:rPr>
        <w:t>bn</w:t>
      </w:r>
      <w:proofErr w:type="spellEnd"/>
      <w:r w:rsidRPr="009F22A8">
        <w:rPr>
          <w:rStyle w:val="at3"/>
          <w:rFonts w:ascii="Arial" w:hAnsi="Arial" w:cs="Arial"/>
          <w:i/>
          <w:sz w:val="18"/>
          <w:lang w:val="en-US"/>
        </w:rPr>
        <w:t>)</w:t>
      </w:r>
    </w:p>
    <w:p w:rsidR="005546E0" w:rsidRPr="00572D53" w:rsidRDefault="005546E0" w:rsidP="005546E0">
      <w:pPr>
        <w:pStyle w:val="astandardp4"/>
        <w:numPr>
          <w:ilvl w:val="0"/>
          <w:numId w:val="1"/>
        </w:numPr>
        <w:spacing w:before="120" w:line="276" w:lineRule="auto"/>
        <w:rPr>
          <w:rStyle w:val="at71"/>
          <w:i w:val="0"/>
          <w:iCs w:val="0"/>
          <w:lang w:val="en-US"/>
        </w:rPr>
      </w:pPr>
      <w:r w:rsidRPr="00572D53">
        <w:rPr>
          <w:rStyle w:val="at3"/>
          <w:rFonts w:ascii="Arial" w:hAnsi="Arial" w:cs="Arial"/>
          <w:sz w:val="18"/>
          <w:lang w:val="en-US"/>
        </w:rPr>
        <w:t>Greece</w:t>
      </w:r>
      <w:r w:rsidRPr="00572D53">
        <w:rPr>
          <w:rStyle w:val="at5"/>
          <w:rFonts w:ascii="Arial" w:hAnsi="Arial" w:cs="Arial"/>
          <w:sz w:val="18"/>
          <w:lang w:val="en-US"/>
        </w:rPr>
        <w:t>:</w:t>
      </w:r>
      <w:r w:rsidRPr="00572D53">
        <w:rPr>
          <w:rStyle w:val="at91"/>
          <w:rFonts w:ascii="Arial" w:hAnsi="Arial" w:cs="Arial"/>
          <w:sz w:val="18"/>
          <w:lang w:val="en-US"/>
        </w:rPr>
        <w:t xml:space="preserve"> National Bank of Greece “NBG”</w:t>
      </w:r>
      <w:r w:rsidRPr="00572D53">
        <w:rPr>
          <w:rStyle w:val="at71"/>
          <w:rFonts w:ascii="Arial" w:hAnsi="Arial" w:cs="Arial"/>
          <w:sz w:val="18"/>
          <w:lang w:val="en-US"/>
        </w:rPr>
        <w:t xml:space="preserve"> (€ 140 </w:t>
      </w:r>
      <w:proofErr w:type="spellStart"/>
      <w:r w:rsidRPr="00572D53">
        <w:rPr>
          <w:rStyle w:val="at71"/>
          <w:rFonts w:ascii="Arial" w:hAnsi="Arial" w:cs="Arial"/>
          <w:sz w:val="18"/>
          <w:lang w:val="en-US"/>
        </w:rPr>
        <w:t>bn</w:t>
      </w:r>
      <w:proofErr w:type="spellEnd"/>
      <w:r w:rsidRPr="00572D53">
        <w:rPr>
          <w:rStyle w:val="at71"/>
          <w:rFonts w:ascii="Arial" w:hAnsi="Arial" w:cs="Arial"/>
          <w:sz w:val="18"/>
          <w:lang w:val="en-US"/>
        </w:rPr>
        <w:t>)</w:t>
      </w:r>
    </w:p>
    <w:p w:rsidR="005546E0" w:rsidRDefault="005546E0" w:rsidP="005546E0">
      <w:pPr>
        <w:pStyle w:val="astandardp4"/>
        <w:numPr>
          <w:ilvl w:val="0"/>
          <w:numId w:val="1"/>
        </w:numPr>
        <w:spacing w:before="120" w:line="276" w:lineRule="auto"/>
        <w:rPr>
          <w:rFonts w:ascii="Arial" w:hAnsi="Arial" w:cs="Arial"/>
          <w:sz w:val="18"/>
          <w:lang w:val="en-US"/>
        </w:rPr>
      </w:pPr>
      <w:r>
        <w:rPr>
          <w:rStyle w:val="at3"/>
          <w:rFonts w:ascii="Arial" w:hAnsi="Arial" w:cs="Arial"/>
          <w:sz w:val="18"/>
          <w:lang w:val="en-US"/>
        </w:rPr>
        <w:t>Hungary:</w:t>
      </w:r>
      <w:r>
        <w:rPr>
          <w:rStyle w:val="at71"/>
          <w:rFonts w:ascii="Arial" w:hAnsi="Arial" w:cs="Arial"/>
          <w:sz w:val="18"/>
          <w:lang w:val="en-US"/>
        </w:rPr>
        <w:t xml:space="preserve"> MFB Hungarian Development Bank “MFB” (€ 4.7 </w:t>
      </w:r>
      <w:proofErr w:type="spellStart"/>
      <w:r>
        <w:rPr>
          <w:rStyle w:val="at71"/>
          <w:rFonts w:ascii="Arial" w:hAnsi="Arial" w:cs="Arial"/>
          <w:sz w:val="18"/>
          <w:lang w:val="en-US"/>
        </w:rPr>
        <w:t>bn</w:t>
      </w:r>
      <w:proofErr w:type="spellEnd"/>
      <w:r>
        <w:rPr>
          <w:rStyle w:val="at71"/>
          <w:rFonts w:ascii="Arial" w:hAnsi="Arial" w:cs="Arial"/>
          <w:sz w:val="18"/>
          <w:lang w:val="en-US"/>
        </w:rPr>
        <w:t>)</w:t>
      </w:r>
    </w:p>
    <w:p w:rsidR="005546E0" w:rsidRPr="00ED5010" w:rsidRDefault="005546E0" w:rsidP="005546E0">
      <w:pPr>
        <w:pStyle w:val="astandardp4"/>
        <w:numPr>
          <w:ilvl w:val="0"/>
          <w:numId w:val="1"/>
        </w:numPr>
        <w:spacing w:before="120" w:line="276" w:lineRule="auto"/>
        <w:rPr>
          <w:rFonts w:ascii="Arial" w:hAnsi="Arial" w:cs="Arial"/>
          <w:sz w:val="18"/>
          <w:lang w:val="it-IT"/>
        </w:rPr>
      </w:pPr>
      <w:r w:rsidRPr="00ED5010">
        <w:rPr>
          <w:rStyle w:val="at10"/>
          <w:rFonts w:ascii="Arial" w:hAnsi="Arial" w:cs="Arial"/>
          <w:sz w:val="18"/>
          <w:lang w:val="it-IT"/>
        </w:rPr>
        <w:t>Italy:</w:t>
      </w:r>
      <w:r w:rsidRPr="00ED5010">
        <w:rPr>
          <w:rStyle w:val="at111"/>
          <w:rFonts w:ascii="Arial" w:hAnsi="Arial" w:cs="Arial"/>
          <w:sz w:val="18"/>
          <w:lang w:val="it-IT"/>
        </w:rPr>
        <w:t xml:space="preserve"> Cassa Depositi e Prestiti </w:t>
      </w:r>
      <w:r w:rsidRPr="00ED5010">
        <w:rPr>
          <w:rStyle w:val="at121"/>
          <w:rFonts w:ascii="Arial" w:hAnsi="Arial" w:cs="Arial"/>
          <w:sz w:val="18"/>
          <w:lang w:val="it-IT"/>
        </w:rPr>
        <w:t>“</w:t>
      </w:r>
      <w:r w:rsidRPr="00ED5010">
        <w:rPr>
          <w:rStyle w:val="at111"/>
          <w:rFonts w:ascii="Arial" w:hAnsi="Arial" w:cs="Arial"/>
          <w:sz w:val="18"/>
          <w:lang w:val="it-IT"/>
        </w:rPr>
        <w:t>CDP</w:t>
      </w:r>
      <w:r w:rsidRPr="00ED5010">
        <w:rPr>
          <w:rStyle w:val="at121"/>
          <w:rFonts w:ascii="Arial" w:hAnsi="Arial" w:cs="Arial"/>
          <w:sz w:val="18"/>
          <w:lang w:val="it-IT"/>
        </w:rPr>
        <w:t>”</w:t>
      </w:r>
      <w:r w:rsidRPr="00ED5010">
        <w:rPr>
          <w:rStyle w:val="at111"/>
          <w:rFonts w:ascii="Arial" w:hAnsi="Arial" w:cs="Arial"/>
          <w:sz w:val="18"/>
          <w:lang w:val="it-IT"/>
        </w:rPr>
        <w:t xml:space="preserve"> (€ 305 bn)</w:t>
      </w:r>
    </w:p>
    <w:p w:rsidR="005546E0" w:rsidRDefault="005546E0" w:rsidP="005546E0">
      <w:pPr>
        <w:pStyle w:val="astandardp4"/>
        <w:numPr>
          <w:ilvl w:val="0"/>
          <w:numId w:val="1"/>
        </w:numPr>
        <w:spacing w:before="120" w:line="276" w:lineRule="auto"/>
        <w:rPr>
          <w:rFonts w:ascii="Arial" w:hAnsi="Arial" w:cs="Arial"/>
          <w:sz w:val="18"/>
          <w:lang w:val="en-US"/>
        </w:rPr>
      </w:pPr>
      <w:r>
        <w:rPr>
          <w:rStyle w:val="at3"/>
          <w:rFonts w:ascii="Arial" w:hAnsi="Arial" w:cs="Arial"/>
          <w:sz w:val="18"/>
          <w:lang w:val="en-US"/>
        </w:rPr>
        <w:t>Latvia:</w:t>
      </w:r>
      <w:r>
        <w:rPr>
          <w:rStyle w:val="at71"/>
          <w:rFonts w:ascii="Arial" w:hAnsi="Arial" w:cs="Arial"/>
          <w:sz w:val="18"/>
          <w:lang w:val="en-US"/>
        </w:rPr>
        <w:t xml:space="preserve"> The Latvian Development Finance Institution “ALTUM” (€ 0.97 </w:t>
      </w:r>
      <w:proofErr w:type="spellStart"/>
      <w:r>
        <w:rPr>
          <w:rStyle w:val="at71"/>
          <w:rFonts w:ascii="Arial" w:hAnsi="Arial" w:cs="Arial"/>
          <w:sz w:val="18"/>
          <w:lang w:val="en-US"/>
        </w:rPr>
        <w:t>bn</w:t>
      </w:r>
      <w:proofErr w:type="spellEnd"/>
      <w:r>
        <w:rPr>
          <w:rStyle w:val="at71"/>
          <w:rFonts w:ascii="Arial" w:hAnsi="Arial" w:cs="Arial"/>
          <w:sz w:val="18"/>
          <w:lang w:val="en-US"/>
        </w:rPr>
        <w:t>)</w:t>
      </w:r>
    </w:p>
    <w:p w:rsidR="005546E0" w:rsidRPr="00567B0F" w:rsidRDefault="005546E0" w:rsidP="005546E0">
      <w:pPr>
        <w:pStyle w:val="astandardp4"/>
        <w:numPr>
          <w:ilvl w:val="0"/>
          <w:numId w:val="1"/>
        </w:numPr>
        <w:spacing w:before="120" w:line="276" w:lineRule="auto"/>
        <w:rPr>
          <w:rStyle w:val="at3"/>
          <w:rFonts w:ascii="Arial" w:hAnsi="Arial" w:cs="Arial"/>
          <w:sz w:val="18"/>
          <w:lang w:val="fr-BE"/>
        </w:rPr>
      </w:pPr>
      <w:r w:rsidRPr="00567B0F">
        <w:rPr>
          <w:rStyle w:val="at3"/>
          <w:rFonts w:ascii="Arial" w:hAnsi="Arial" w:cs="Arial"/>
          <w:sz w:val="18"/>
          <w:lang w:val="fr-BE"/>
        </w:rPr>
        <w:t xml:space="preserve">Luxembourg: </w:t>
      </w:r>
      <w:r w:rsidRPr="00567B0F">
        <w:rPr>
          <w:rStyle w:val="at3"/>
          <w:rFonts w:ascii="Arial" w:hAnsi="Arial" w:cs="Arial"/>
          <w:i/>
          <w:sz w:val="18"/>
          <w:lang w:val="fr-BE"/>
        </w:rPr>
        <w:t>Société Nationale de Crédit et d’Investissement “SNCI” (</w:t>
      </w:r>
      <w:r>
        <w:rPr>
          <w:rStyle w:val="at3"/>
          <w:rFonts w:ascii="Arial" w:hAnsi="Arial" w:cs="Arial"/>
          <w:i/>
          <w:sz w:val="18"/>
          <w:lang w:val="fr-BE"/>
        </w:rPr>
        <w:t xml:space="preserve">€ 1.31 </w:t>
      </w:r>
      <w:proofErr w:type="spellStart"/>
      <w:r>
        <w:rPr>
          <w:rStyle w:val="at3"/>
          <w:rFonts w:ascii="Arial" w:hAnsi="Arial" w:cs="Arial"/>
          <w:i/>
          <w:sz w:val="18"/>
          <w:lang w:val="fr-BE"/>
        </w:rPr>
        <w:t>bn</w:t>
      </w:r>
      <w:proofErr w:type="spellEnd"/>
      <w:r>
        <w:rPr>
          <w:rStyle w:val="at3"/>
          <w:rFonts w:ascii="Arial" w:hAnsi="Arial" w:cs="Arial"/>
          <w:i/>
          <w:sz w:val="18"/>
          <w:lang w:val="fr-BE"/>
        </w:rPr>
        <w:t>)</w:t>
      </w:r>
      <w:r w:rsidRPr="00567B0F">
        <w:rPr>
          <w:rStyle w:val="at3"/>
          <w:rFonts w:ascii="Arial" w:hAnsi="Arial" w:cs="Arial"/>
          <w:sz w:val="18"/>
          <w:lang w:val="fr-BE"/>
        </w:rPr>
        <w:t xml:space="preserve"> </w:t>
      </w:r>
    </w:p>
    <w:p w:rsidR="005546E0" w:rsidRPr="00567B0F" w:rsidRDefault="005546E0" w:rsidP="005546E0">
      <w:pPr>
        <w:pStyle w:val="astandardp4"/>
        <w:numPr>
          <w:ilvl w:val="0"/>
          <w:numId w:val="1"/>
        </w:numPr>
        <w:spacing w:before="120" w:line="276" w:lineRule="auto"/>
        <w:rPr>
          <w:rStyle w:val="at91"/>
          <w:rFonts w:ascii="Arial" w:hAnsi="Arial" w:cs="Arial"/>
          <w:i w:val="0"/>
          <w:iCs w:val="0"/>
          <w:sz w:val="18"/>
          <w:lang w:val="en-US"/>
        </w:rPr>
      </w:pPr>
      <w:r>
        <w:rPr>
          <w:rStyle w:val="at3"/>
          <w:rFonts w:ascii="Arial" w:hAnsi="Arial" w:cs="Arial"/>
          <w:sz w:val="18"/>
          <w:lang w:val="en-US"/>
        </w:rPr>
        <w:t>M</w:t>
      </w:r>
      <w:r w:rsidRPr="00567B0F">
        <w:rPr>
          <w:rStyle w:val="at3"/>
          <w:rFonts w:ascii="Arial" w:hAnsi="Arial" w:cs="Arial"/>
          <w:sz w:val="18"/>
          <w:lang w:val="en-US"/>
        </w:rPr>
        <w:t>alta</w:t>
      </w:r>
      <w:r w:rsidRPr="00567B0F">
        <w:rPr>
          <w:rStyle w:val="at5"/>
          <w:rFonts w:ascii="Arial" w:hAnsi="Arial" w:cs="Arial"/>
          <w:sz w:val="18"/>
          <w:lang w:val="en-US"/>
        </w:rPr>
        <w:t>:</w:t>
      </w:r>
      <w:r w:rsidRPr="00567B0F">
        <w:rPr>
          <w:rStyle w:val="at91"/>
          <w:rFonts w:ascii="Arial" w:hAnsi="Arial" w:cs="Arial"/>
          <w:sz w:val="18"/>
          <w:lang w:val="en-US"/>
        </w:rPr>
        <w:t xml:space="preserve"> Bank of Valletta “BOV” (€ 7 </w:t>
      </w:r>
      <w:proofErr w:type="spellStart"/>
      <w:r w:rsidRPr="00567B0F">
        <w:rPr>
          <w:rStyle w:val="at91"/>
          <w:rFonts w:ascii="Arial" w:hAnsi="Arial" w:cs="Arial"/>
          <w:sz w:val="18"/>
          <w:lang w:val="en-US"/>
        </w:rPr>
        <w:t>bn</w:t>
      </w:r>
      <w:proofErr w:type="spellEnd"/>
      <w:r w:rsidRPr="00567B0F">
        <w:rPr>
          <w:rStyle w:val="at91"/>
          <w:rFonts w:ascii="Arial" w:hAnsi="Arial" w:cs="Arial"/>
          <w:sz w:val="18"/>
          <w:lang w:val="en-US"/>
        </w:rPr>
        <w:t>)</w:t>
      </w:r>
    </w:p>
    <w:p w:rsidR="005546E0" w:rsidRPr="009F22A8" w:rsidRDefault="005546E0" w:rsidP="005546E0">
      <w:pPr>
        <w:pStyle w:val="astandardp4"/>
        <w:numPr>
          <w:ilvl w:val="0"/>
          <w:numId w:val="1"/>
        </w:numPr>
        <w:spacing w:before="120" w:line="276" w:lineRule="auto"/>
        <w:rPr>
          <w:rFonts w:ascii="Arial" w:hAnsi="Arial" w:cs="Arial"/>
          <w:sz w:val="18"/>
          <w:lang w:val="de-DE"/>
        </w:rPr>
      </w:pPr>
      <w:proofErr w:type="spellStart"/>
      <w:r w:rsidRPr="009F22A8">
        <w:rPr>
          <w:rStyle w:val="at13"/>
          <w:rFonts w:ascii="Arial" w:hAnsi="Arial" w:cs="Arial"/>
          <w:sz w:val="18"/>
          <w:lang w:val="de-DE"/>
        </w:rPr>
        <w:t>Poland</w:t>
      </w:r>
      <w:proofErr w:type="spellEnd"/>
      <w:r w:rsidRPr="009F22A8">
        <w:rPr>
          <w:rStyle w:val="at13"/>
          <w:rFonts w:ascii="Arial" w:hAnsi="Arial" w:cs="Arial"/>
          <w:sz w:val="18"/>
          <w:lang w:val="de-DE"/>
        </w:rPr>
        <w:t>:</w:t>
      </w:r>
      <w:r w:rsidRPr="009F22A8">
        <w:rPr>
          <w:rStyle w:val="at141"/>
          <w:rFonts w:ascii="Arial" w:hAnsi="Arial" w:cs="Arial"/>
          <w:sz w:val="18"/>
          <w:lang w:val="de-DE"/>
        </w:rPr>
        <w:t xml:space="preserve"> Bank </w:t>
      </w:r>
      <w:proofErr w:type="spellStart"/>
      <w:r w:rsidRPr="009F22A8">
        <w:rPr>
          <w:rStyle w:val="at141"/>
          <w:rFonts w:ascii="Arial" w:hAnsi="Arial" w:cs="Arial"/>
          <w:sz w:val="18"/>
          <w:lang w:val="de-DE"/>
        </w:rPr>
        <w:t>Gospodarstwa</w:t>
      </w:r>
      <w:proofErr w:type="spellEnd"/>
      <w:r w:rsidRPr="009F22A8">
        <w:rPr>
          <w:rStyle w:val="at141"/>
          <w:rFonts w:ascii="Arial" w:hAnsi="Arial" w:cs="Arial"/>
          <w:sz w:val="18"/>
          <w:lang w:val="de-DE"/>
        </w:rPr>
        <w:t xml:space="preserve"> </w:t>
      </w:r>
      <w:proofErr w:type="spellStart"/>
      <w:r w:rsidRPr="009F22A8">
        <w:rPr>
          <w:rStyle w:val="at141"/>
          <w:rFonts w:ascii="Arial" w:hAnsi="Arial" w:cs="Arial"/>
          <w:sz w:val="18"/>
          <w:lang w:val="de-DE"/>
        </w:rPr>
        <w:t>Krajowego</w:t>
      </w:r>
      <w:proofErr w:type="spellEnd"/>
      <w:r w:rsidRPr="009F22A8">
        <w:rPr>
          <w:rStyle w:val="at141"/>
          <w:rFonts w:ascii="Arial" w:hAnsi="Arial" w:cs="Arial"/>
          <w:sz w:val="18"/>
          <w:lang w:val="de-DE"/>
        </w:rPr>
        <w:t xml:space="preserve"> “BGK” (€ </w:t>
      </w:r>
      <w:r>
        <w:rPr>
          <w:rStyle w:val="at141"/>
          <w:rFonts w:ascii="Arial" w:hAnsi="Arial" w:cs="Arial"/>
          <w:sz w:val="18"/>
          <w:lang w:val="de-DE"/>
        </w:rPr>
        <w:t>10.6</w:t>
      </w:r>
      <w:r w:rsidRPr="009F22A8">
        <w:rPr>
          <w:rStyle w:val="at141"/>
          <w:rFonts w:ascii="Arial" w:hAnsi="Arial" w:cs="Arial"/>
          <w:sz w:val="18"/>
          <w:lang w:val="de-DE"/>
        </w:rPr>
        <w:t xml:space="preserve"> </w:t>
      </w:r>
      <w:proofErr w:type="spellStart"/>
      <w:r w:rsidRPr="009F22A8">
        <w:rPr>
          <w:rStyle w:val="at141"/>
          <w:rFonts w:ascii="Arial" w:hAnsi="Arial" w:cs="Arial"/>
          <w:sz w:val="18"/>
          <w:lang w:val="de-DE"/>
        </w:rPr>
        <w:t>bn</w:t>
      </w:r>
      <w:proofErr w:type="spellEnd"/>
      <w:r w:rsidRPr="009F22A8">
        <w:rPr>
          <w:rStyle w:val="at141"/>
          <w:rFonts w:ascii="Arial" w:hAnsi="Arial" w:cs="Arial"/>
          <w:sz w:val="18"/>
          <w:lang w:val="de-DE"/>
        </w:rPr>
        <w:t>)</w:t>
      </w:r>
    </w:p>
    <w:p w:rsidR="005546E0" w:rsidRPr="00C6788E" w:rsidRDefault="005546E0" w:rsidP="005546E0">
      <w:pPr>
        <w:pStyle w:val="astandardp4"/>
        <w:numPr>
          <w:ilvl w:val="0"/>
          <w:numId w:val="1"/>
        </w:numPr>
        <w:spacing w:before="120" w:line="276" w:lineRule="auto"/>
        <w:rPr>
          <w:rFonts w:ascii="Arial" w:hAnsi="Arial" w:cs="Arial"/>
          <w:sz w:val="18"/>
          <w:lang w:val="it-IT"/>
        </w:rPr>
      </w:pPr>
      <w:r w:rsidRPr="00C6788E">
        <w:rPr>
          <w:rStyle w:val="at15"/>
          <w:rFonts w:ascii="Arial" w:hAnsi="Arial" w:cs="Arial"/>
          <w:sz w:val="18"/>
          <w:lang w:val="it-IT"/>
        </w:rPr>
        <w:t>Portugal:</w:t>
      </w:r>
      <w:r w:rsidRPr="00C6788E">
        <w:rPr>
          <w:rStyle w:val="at161"/>
          <w:rFonts w:ascii="Arial" w:hAnsi="Arial" w:cs="Arial"/>
          <w:sz w:val="18"/>
          <w:lang w:val="it-IT"/>
        </w:rPr>
        <w:t xml:space="preserve"> Banco BPI (“BPI)“ (€ 43 bn)</w:t>
      </w:r>
    </w:p>
    <w:p w:rsidR="005546E0" w:rsidRPr="009F22A8" w:rsidRDefault="005546E0" w:rsidP="005546E0">
      <w:pPr>
        <w:pStyle w:val="astandardp4"/>
        <w:numPr>
          <w:ilvl w:val="0"/>
          <w:numId w:val="1"/>
        </w:numPr>
        <w:spacing w:before="120" w:line="276" w:lineRule="auto"/>
        <w:rPr>
          <w:rFonts w:ascii="Arial" w:hAnsi="Arial" w:cs="Arial"/>
          <w:sz w:val="18"/>
          <w:lang w:val="it-IT"/>
        </w:rPr>
      </w:pPr>
      <w:r w:rsidRPr="009F22A8">
        <w:rPr>
          <w:rStyle w:val="at17"/>
          <w:rFonts w:ascii="Arial" w:hAnsi="Arial" w:cs="Arial"/>
          <w:sz w:val="18"/>
          <w:lang w:val="it-IT"/>
        </w:rPr>
        <w:t>Slovenia</w:t>
      </w:r>
      <w:r w:rsidRPr="009F22A8">
        <w:rPr>
          <w:rStyle w:val="at18"/>
          <w:rFonts w:ascii="Arial" w:hAnsi="Arial" w:cs="Arial"/>
          <w:sz w:val="18"/>
          <w:lang w:val="it-IT"/>
        </w:rPr>
        <w:t>:</w:t>
      </w:r>
      <w:r w:rsidRPr="009F22A8">
        <w:rPr>
          <w:rStyle w:val="at201"/>
          <w:rFonts w:ascii="Arial" w:hAnsi="Arial" w:cs="Arial"/>
          <w:sz w:val="18"/>
          <w:lang w:val="it-IT"/>
        </w:rPr>
        <w:t xml:space="preserve"> Slovenska izvozna in razvojna banka “SID”</w:t>
      </w:r>
      <w:r w:rsidRPr="009F22A8">
        <w:rPr>
          <w:rStyle w:val="at191"/>
          <w:rFonts w:ascii="Arial" w:hAnsi="Arial" w:cs="Arial"/>
          <w:sz w:val="18"/>
          <w:lang w:val="it-IT"/>
        </w:rPr>
        <w:t xml:space="preserve"> (€ 4.1 bn)</w:t>
      </w:r>
    </w:p>
    <w:p w:rsidR="005546E0" w:rsidRDefault="005546E0" w:rsidP="005546E0">
      <w:pPr>
        <w:pStyle w:val="astandardp4"/>
        <w:numPr>
          <w:ilvl w:val="0"/>
          <w:numId w:val="1"/>
        </w:numPr>
        <w:spacing w:before="120" w:line="276" w:lineRule="auto"/>
        <w:rPr>
          <w:rFonts w:ascii="Arial" w:hAnsi="Arial" w:cs="Arial"/>
          <w:sz w:val="18"/>
        </w:rPr>
      </w:pPr>
      <w:r w:rsidRPr="00B51B8B">
        <w:rPr>
          <w:rStyle w:val="at10"/>
          <w:rFonts w:ascii="Arial" w:hAnsi="Arial" w:cs="Arial"/>
          <w:sz w:val="18"/>
          <w:lang w:val="fr-BE"/>
        </w:rPr>
        <w:t xml:space="preserve">Spain: </w:t>
      </w:r>
      <w:proofErr w:type="spellStart"/>
      <w:r w:rsidRPr="00B51B8B">
        <w:rPr>
          <w:rStyle w:val="at111"/>
          <w:rFonts w:ascii="Arial" w:hAnsi="Arial" w:cs="Arial"/>
          <w:sz w:val="18"/>
          <w:lang w:val="fr-BE"/>
        </w:rPr>
        <w:t>Instituto</w:t>
      </w:r>
      <w:proofErr w:type="spellEnd"/>
      <w:r w:rsidRPr="00B51B8B">
        <w:rPr>
          <w:rStyle w:val="at111"/>
          <w:rFonts w:ascii="Arial" w:hAnsi="Arial" w:cs="Arial"/>
          <w:sz w:val="18"/>
          <w:lang w:val="fr-BE"/>
        </w:rPr>
        <w:t xml:space="preserve"> de </w:t>
      </w:r>
      <w:proofErr w:type="spellStart"/>
      <w:r w:rsidRPr="00B51B8B">
        <w:rPr>
          <w:rStyle w:val="at111"/>
          <w:rFonts w:ascii="Arial" w:hAnsi="Arial" w:cs="Arial"/>
          <w:sz w:val="18"/>
          <w:lang w:val="fr-BE"/>
        </w:rPr>
        <w:t>Créd</w:t>
      </w:r>
      <w:r>
        <w:rPr>
          <w:rStyle w:val="at111"/>
          <w:rFonts w:ascii="Arial" w:hAnsi="Arial" w:cs="Arial"/>
          <w:sz w:val="18"/>
        </w:rPr>
        <w:t>ito</w:t>
      </w:r>
      <w:proofErr w:type="spellEnd"/>
      <w:r>
        <w:rPr>
          <w:rStyle w:val="at111"/>
          <w:rFonts w:ascii="Arial" w:hAnsi="Arial" w:cs="Arial"/>
          <w:sz w:val="18"/>
        </w:rPr>
        <w:t xml:space="preserve"> </w:t>
      </w:r>
      <w:proofErr w:type="spellStart"/>
      <w:r>
        <w:rPr>
          <w:rStyle w:val="at111"/>
          <w:rFonts w:ascii="Arial" w:hAnsi="Arial" w:cs="Arial"/>
          <w:sz w:val="18"/>
        </w:rPr>
        <w:t>Oficial</w:t>
      </w:r>
      <w:proofErr w:type="spellEnd"/>
      <w:r>
        <w:rPr>
          <w:rStyle w:val="at111"/>
          <w:rFonts w:ascii="Arial" w:hAnsi="Arial" w:cs="Arial"/>
          <w:sz w:val="18"/>
        </w:rPr>
        <w:t xml:space="preserve"> “ICO” (€ 115 </w:t>
      </w:r>
      <w:proofErr w:type="spellStart"/>
      <w:r>
        <w:rPr>
          <w:rStyle w:val="at111"/>
          <w:rFonts w:ascii="Arial" w:hAnsi="Arial" w:cs="Arial"/>
          <w:sz w:val="18"/>
        </w:rPr>
        <w:t>bn</w:t>
      </w:r>
      <w:proofErr w:type="spellEnd"/>
      <w:r>
        <w:rPr>
          <w:rStyle w:val="at111"/>
          <w:rFonts w:ascii="Arial" w:hAnsi="Arial" w:cs="Arial"/>
          <w:sz w:val="18"/>
        </w:rPr>
        <w:t>)</w:t>
      </w:r>
    </w:p>
    <w:p w:rsidR="005546E0" w:rsidRPr="00B51B8B" w:rsidRDefault="005546E0" w:rsidP="005546E0">
      <w:pPr>
        <w:rPr>
          <w:sz w:val="18"/>
          <w:szCs w:val="18"/>
          <w:u w:val="single"/>
          <w:lang w:val="fr-BE"/>
        </w:rPr>
      </w:pPr>
    </w:p>
    <w:p w:rsidR="005546E0" w:rsidRPr="00D97F15" w:rsidRDefault="005546E0" w:rsidP="005546E0">
      <w:pPr>
        <w:rPr>
          <w:sz w:val="18"/>
          <w:szCs w:val="18"/>
          <w:u w:val="single"/>
          <w:lang w:val="en-US"/>
        </w:rPr>
      </w:pPr>
      <w:r w:rsidRPr="00D97F15">
        <w:rPr>
          <w:sz w:val="18"/>
          <w:szCs w:val="18"/>
          <w:u w:val="single"/>
          <w:lang w:val="en-US"/>
        </w:rPr>
        <w:t>Associate Members</w:t>
      </w:r>
    </w:p>
    <w:p w:rsidR="005546E0" w:rsidRDefault="005546E0" w:rsidP="005546E0">
      <w:pPr>
        <w:pStyle w:val="astandardp4"/>
        <w:numPr>
          <w:ilvl w:val="0"/>
          <w:numId w:val="3"/>
        </w:numPr>
        <w:spacing w:before="120" w:line="276" w:lineRule="auto"/>
        <w:rPr>
          <w:rStyle w:val="at3"/>
          <w:lang w:val="en-US"/>
        </w:rPr>
      </w:pPr>
      <w:r w:rsidRPr="00D97F15">
        <w:rPr>
          <w:rStyle w:val="at3"/>
          <w:rFonts w:ascii="Arial" w:hAnsi="Arial" w:cs="Arial"/>
          <w:sz w:val="18"/>
          <w:lang w:val="en-US"/>
        </w:rPr>
        <w:t xml:space="preserve">Germany: </w:t>
      </w:r>
      <w:proofErr w:type="spellStart"/>
      <w:r w:rsidRPr="00D97F15">
        <w:rPr>
          <w:rStyle w:val="at3"/>
          <w:rFonts w:ascii="Arial" w:hAnsi="Arial" w:cs="Arial"/>
          <w:i/>
          <w:sz w:val="18"/>
          <w:lang w:val="en-US"/>
        </w:rPr>
        <w:t>NRWBank</w:t>
      </w:r>
      <w:proofErr w:type="spellEnd"/>
      <w:r w:rsidRPr="00D97F15">
        <w:rPr>
          <w:rStyle w:val="at3"/>
          <w:rFonts w:ascii="Arial" w:hAnsi="Arial" w:cs="Arial"/>
          <w:i/>
          <w:sz w:val="18"/>
          <w:lang w:val="en-US"/>
        </w:rPr>
        <w:t xml:space="preserve"> (€ 150 </w:t>
      </w:r>
      <w:proofErr w:type="spellStart"/>
      <w:r w:rsidRPr="00D97F15">
        <w:rPr>
          <w:rStyle w:val="at3"/>
          <w:rFonts w:ascii="Arial" w:hAnsi="Arial" w:cs="Arial"/>
          <w:i/>
          <w:sz w:val="18"/>
          <w:lang w:val="en-US"/>
        </w:rPr>
        <w:t>bn</w:t>
      </w:r>
      <w:proofErr w:type="spellEnd"/>
      <w:r w:rsidRPr="00D97F15">
        <w:rPr>
          <w:rStyle w:val="at3"/>
          <w:rFonts w:ascii="Arial" w:hAnsi="Arial" w:cs="Arial"/>
          <w:i/>
          <w:sz w:val="18"/>
          <w:lang w:val="en-US"/>
        </w:rPr>
        <w:t>)</w:t>
      </w:r>
    </w:p>
    <w:p w:rsidR="005546E0" w:rsidRPr="00D97F15" w:rsidRDefault="005546E0" w:rsidP="005546E0">
      <w:pPr>
        <w:pStyle w:val="astandardp4"/>
        <w:numPr>
          <w:ilvl w:val="0"/>
          <w:numId w:val="3"/>
        </w:numPr>
        <w:spacing w:before="120" w:line="276" w:lineRule="auto"/>
        <w:rPr>
          <w:rStyle w:val="at71"/>
          <w:i w:val="0"/>
          <w:iCs w:val="0"/>
          <w:lang w:val="en-US"/>
        </w:rPr>
      </w:pPr>
      <w:r w:rsidRPr="00D97F15">
        <w:rPr>
          <w:rStyle w:val="at71"/>
          <w:rFonts w:ascii="Arial" w:hAnsi="Arial" w:cs="Arial"/>
          <w:i w:val="0"/>
          <w:sz w:val="18"/>
          <w:lang w:val="en-US"/>
        </w:rPr>
        <w:t>Greece:</w:t>
      </w:r>
      <w:r w:rsidRPr="00D97F15">
        <w:rPr>
          <w:rStyle w:val="at71"/>
          <w:rFonts w:ascii="Arial" w:hAnsi="Arial" w:cs="Arial"/>
          <w:sz w:val="18"/>
          <w:lang w:val="en-US"/>
        </w:rPr>
        <w:t xml:space="preserve"> Consignment Deposits and Loans Fund “CDLF” (€ 8 </w:t>
      </w:r>
      <w:proofErr w:type="spellStart"/>
      <w:r w:rsidRPr="00D97F15">
        <w:rPr>
          <w:rStyle w:val="at71"/>
          <w:rFonts w:ascii="Arial" w:hAnsi="Arial" w:cs="Arial"/>
          <w:sz w:val="18"/>
          <w:lang w:val="en-US"/>
        </w:rPr>
        <w:t>bn</w:t>
      </w:r>
      <w:proofErr w:type="spellEnd"/>
      <w:r w:rsidRPr="00D97F15">
        <w:rPr>
          <w:rStyle w:val="at71"/>
          <w:rFonts w:ascii="Arial" w:hAnsi="Arial" w:cs="Arial"/>
          <w:sz w:val="18"/>
          <w:lang w:val="en-US"/>
        </w:rPr>
        <w:t xml:space="preserve">) </w:t>
      </w:r>
    </w:p>
    <w:p w:rsidR="005546E0" w:rsidRDefault="005546E0" w:rsidP="005546E0">
      <w:pPr>
        <w:pStyle w:val="astandardp4"/>
        <w:numPr>
          <w:ilvl w:val="0"/>
          <w:numId w:val="3"/>
        </w:numPr>
        <w:spacing w:before="120" w:line="276" w:lineRule="auto"/>
        <w:rPr>
          <w:rFonts w:ascii="Arial" w:hAnsi="Arial" w:cs="Arial"/>
          <w:sz w:val="18"/>
          <w:lang w:val="en-US"/>
        </w:rPr>
      </w:pPr>
      <w:r w:rsidRPr="007E0817">
        <w:rPr>
          <w:rStyle w:val="at91"/>
          <w:rFonts w:ascii="Arial" w:hAnsi="Arial" w:cs="Arial"/>
          <w:i w:val="0"/>
          <w:sz w:val="18"/>
          <w:lang w:val="en-US"/>
        </w:rPr>
        <w:t>Netherlands:</w:t>
      </w:r>
      <w:r>
        <w:rPr>
          <w:rStyle w:val="at91"/>
          <w:rFonts w:ascii="Arial" w:hAnsi="Arial" w:cs="Arial"/>
          <w:sz w:val="18"/>
          <w:lang w:val="en-US"/>
        </w:rPr>
        <w:t xml:space="preserve"> </w:t>
      </w:r>
      <w:proofErr w:type="spellStart"/>
      <w:r>
        <w:rPr>
          <w:rStyle w:val="at91"/>
          <w:rFonts w:ascii="Arial" w:hAnsi="Arial" w:cs="Arial"/>
          <w:sz w:val="18"/>
          <w:lang w:val="en-US"/>
        </w:rPr>
        <w:t>Algemene</w:t>
      </w:r>
      <w:proofErr w:type="spellEnd"/>
      <w:r>
        <w:rPr>
          <w:rStyle w:val="at91"/>
          <w:rFonts w:ascii="Arial" w:hAnsi="Arial" w:cs="Arial"/>
          <w:sz w:val="18"/>
          <w:lang w:val="en-US"/>
        </w:rPr>
        <w:t xml:space="preserve"> </w:t>
      </w:r>
      <w:proofErr w:type="spellStart"/>
      <w:r>
        <w:rPr>
          <w:rStyle w:val="at91"/>
          <w:rFonts w:ascii="Arial" w:hAnsi="Arial" w:cs="Arial"/>
          <w:sz w:val="18"/>
          <w:lang w:val="en-US"/>
        </w:rPr>
        <w:t>Pensioen</w:t>
      </w:r>
      <w:proofErr w:type="spellEnd"/>
      <w:r>
        <w:rPr>
          <w:rStyle w:val="at91"/>
          <w:rFonts w:ascii="Arial" w:hAnsi="Arial" w:cs="Arial"/>
          <w:sz w:val="18"/>
          <w:lang w:val="en-US"/>
        </w:rPr>
        <w:t xml:space="preserve"> Group “APG” (€ 240 </w:t>
      </w:r>
      <w:proofErr w:type="spellStart"/>
      <w:r>
        <w:rPr>
          <w:rStyle w:val="at91"/>
          <w:rFonts w:ascii="Arial" w:hAnsi="Arial" w:cs="Arial"/>
          <w:sz w:val="18"/>
          <w:lang w:val="en-US"/>
        </w:rPr>
        <w:t>bn</w:t>
      </w:r>
      <w:proofErr w:type="spellEnd"/>
      <w:r>
        <w:rPr>
          <w:rStyle w:val="at91"/>
          <w:rFonts w:ascii="Arial" w:hAnsi="Arial" w:cs="Arial"/>
          <w:sz w:val="18"/>
          <w:lang w:val="en-US"/>
        </w:rPr>
        <w:t>)</w:t>
      </w:r>
    </w:p>
    <w:p w:rsidR="005546E0" w:rsidRPr="00D97F15" w:rsidRDefault="005546E0" w:rsidP="005546E0">
      <w:pPr>
        <w:pStyle w:val="astandardp4"/>
        <w:numPr>
          <w:ilvl w:val="0"/>
          <w:numId w:val="3"/>
        </w:numPr>
        <w:spacing w:before="120" w:line="276" w:lineRule="auto"/>
        <w:rPr>
          <w:rFonts w:ascii="Arial" w:hAnsi="Arial" w:cs="Arial"/>
          <w:sz w:val="18"/>
          <w:lang w:val="en-US"/>
        </w:rPr>
      </w:pPr>
      <w:r w:rsidRPr="00D97F15">
        <w:rPr>
          <w:rStyle w:val="at3"/>
          <w:rFonts w:ascii="Arial" w:hAnsi="Arial" w:cs="Arial"/>
          <w:sz w:val="18"/>
          <w:lang w:val="en-US"/>
        </w:rPr>
        <w:t>Turkey:</w:t>
      </w:r>
      <w:r w:rsidRPr="00D97F15">
        <w:rPr>
          <w:rStyle w:val="at71"/>
          <w:rFonts w:ascii="Arial" w:hAnsi="Arial" w:cs="Arial"/>
          <w:sz w:val="18"/>
          <w:lang w:val="en-US"/>
        </w:rPr>
        <w:t xml:space="preserve"> </w:t>
      </w:r>
      <w:proofErr w:type="spellStart"/>
      <w:r w:rsidRPr="00D97F15">
        <w:rPr>
          <w:rStyle w:val="at71"/>
          <w:rFonts w:ascii="Arial" w:hAnsi="Arial" w:cs="Arial"/>
          <w:sz w:val="18"/>
          <w:lang w:val="en-US"/>
        </w:rPr>
        <w:t>Turkije</w:t>
      </w:r>
      <w:proofErr w:type="spellEnd"/>
      <w:r w:rsidRPr="00D97F15">
        <w:rPr>
          <w:rStyle w:val="at71"/>
          <w:rFonts w:ascii="Arial" w:hAnsi="Arial" w:cs="Arial"/>
          <w:sz w:val="18"/>
          <w:lang w:val="en-US"/>
        </w:rPr>
        <w:t xml:space="preserve"> Sinai </w:t>
      </w:r>
      <w:proofErr w:type="spellStart"/>
      <w:r w:rsidRPr="00D97F15">
        <w:rPr>
          <w:rStyle w:val="at71"/>
          <w:rFonts w:ascii="Arial" w:hAnsi="Arial" w:cs="Arial"/>
          <w:sz w:val="18"/>
          <w:lang w:val="en-US"/>
        </w:rPr>
        <w:t>Kalkinma</w:t>
      </w:r>
      <w:proofErr w:type="spellEnd"/>
      <w:r w:rsidRPr="00D97F15">
        <w:rPr>
          <w:rStyle w:val="at71"/>
          <w:rFonts w:ascii="Arial" w:hAnsi="Arial" w:cs="Arial"/>
          <w:sz w:val="18"/>
          <w:lang w:val="en-US"/>
        </w:rPr>
        <w:t xml:space="preserve"> </w:t>
      </w:r>
      <w:proofErr w:type="spellStart"/>
      <w:r w:rsidRPr="00D97F15">
        <w:rPr>
          <w:rStyle w:val="at71"/>
          <w:rFonts w:ascii="Arial" w:hAnsi="Arial" w:cs="Arial"/>
          <w:sz w:val="18"/>
          <w:lang w:val="en-US"/>
        </w:rPr>
        <w:t>Bankasi</w:t>
      </w:r>
      <w:proofErr w:type="spellEnd"/>
      <w:r w:rsidRPr="00D97F15">
        <w:rPr>
          <w:rStyle w:val="at71"/>
          <w:rFonts w:ascii="Arial" w:hAnsi="Arial" w:cs="Arial"/>
          <w:sz w:val="18"/>
          <w:lang w:val="en-US"/>
        </w:rPr>
        <w:t xml:space="preserve"> A.S. “TSKB” (€ 4.3 </w:t>
      </w:r>
      <w:proofErr w:type="spellStart"/>
      <w:r w:rsidRPr="00D97F15">
        <w:rPr>
          <w:rStyle w:val="at71"/>
          <w:rFonts w:ascii="Arial" w:hAnsi="Arial" w:cs="Arial"/>
          <w:sz w:val="18"/>
          <w:lang w:val="en-US"/>
        </w:rPr>
        <w:t>bn</w:t>
      </w:r>
      <w:proofErr w:type="spellEnd"/>
      <w:r w:rsidRPr="00D97F15">
        <w:rPr>
          <w:rStyle w:val="at71"/>
          <w:rFonts w:ascii="Arial" w:hAnsi="Arial" w:cs="Arial"/>
          <w:sz w:val="18"/>
          <w:lang w:val="en-US"/>
        </w:rPr>
        <w:t>)</w:t>
      </w:r>
    </w:p>
    <w:p w:rsidR="005546E0" w:rsidRPr="004B515A" w:rsidRDefault="005546E0" w:rsidP="005546E0">
      <w:pPr>
        <w:pStyle w:val="astandardp4"/>
        <w:numPr>
          <w:ilvl w:val="0"/>
          <w:numId w:val="3"/>
        </w:numPr>
        <w:spacing w:before="120" w:line="276" w:lineRule="auto"/>
        <w:rPr>
          <w:rStyle w:val="at71"/>
          <w:rFonts w:ascii="Arial" w:hAnsi="Arial" w:cs="Arial"/>
          <w:i w:val="0"/>
          <w:iCs w:val="0"/>
          <w:sz w:val="18"/>
          <w:lang w:val="en-US"/>
        </w:rPr>
      </w:pPr>
      <w:r>
        <w:rPr>
          <w:rStyle w:val="at71"/>
          <w:rFonts w:ascii="Arial" w:hAnsi="Arial" w:cs="Arial"/>
          <w:sz w:val="18"/>
          <w:lang w:val="en-US"/>
        </w:rPr>
        <w:t xml:space="preserve">European Investment Bank “EIB” (€ 508 </w:t>
      </w:r>
      <w:proofErr w:type="spellStart"/>
      <w:r>
        <w:rPr>
          <w:rStyle w:val="at71"/>
          <w:rFonts w:ascii="Arial" w:hAnsi="Arial" w:cs="Arial"/>
          <w:sz w:val="18"/>
          <w:lang w:val="en-US"/>
        </w:rPr>
        <w:t>bn</w:t>
      </w:r>
      <w:proofErr w:type="spellEnd"/>
      <w:r>
        <w:rPr>
          <w:rStyle w:val="at71"/>
          <w:rFonts w:ascii="Arial" w:hAnsi="Arial" w:cs="Arial"/>
          <w:sz w:val="18"/>
          <w:lang w:val="en-US"/>
        </w:rPr>
        <w:t>)</w:t>
      </w:r>
    </w:p>
    <w:p w:rsidR="005546E0" w:rsidRPr="009F22A8" w:rsidRDefault="005546E0" w:rsidP="005546E0">
      <w:pPr>
        <w:pStyle w:val="astandardp4"/>
        <w:numPr>
          <w:ilvl w:val="0"/>
          <w:numId w:val="3"/>
        </w:numPr>
        <w:spacing w:before="120" w:line="276" w:lineRule="auto"/>
        <w:rPr>
          <w:rFonts w:ascii="Arial" w:hAnsi="Arial" w:cs="Arial"/>
          <w:i/>
          <w:sz w:val="18"/>
          <w:lang w:val="en-US"/>
        </w:rPr>
      </w:pPr>
      <w:r w:rsidRPr="009F22A8">
        <w:rPr>
          <w:rFonts w:ascii="Arial" w:hAnsi="Arial" w:cs="Arial"/>
          <w:i/>
          <w:sz w:val="18"/>
          <w:lang w:val="en-US"/>
        </w:rPr>
        <w:t xml:space="preserve">Council of Europe Development Bank “CEB” (€ 26 </w:t>
      </w:r>
      <w:proofErr w:type="spellStart"/>
      <w:r w:rsidRPr="009F22A8">
        <w:rPr>
          <w:rFonts w:ascii="Arial" w:hAnsi="Arial" w:cs="Arial"/>
          <w:i/>
          <w:sz w:val="18"/>
          <w:lang w:val="en-US"/>
        </w:rPr>
        <w:t>bn</w:t>
      </w:r>
      <w:proofErr w:type="spellEnd"/>
      <w:r w:rsidRPr="009F22A8">
        <w:rPr>
          <w:rFonts w:ascii="Arial" w:hAnsi="Arial" w:cs="Arial"/>
          <w:i/>
          <w:sz w:val="18"/>
          <w:lang w:val="en-US"/>
        </w:rPr>
        <w:t>)</w:t>
      </w:r>
    </w:p>
    <w:p w:rsidR="00E23AC1" w:rsidRDefault="00E23AC1" w:rsidP="005546E0">
      <w:pPr>
        <w:pStyle w:val="astandardp14"/>
        <w:spacing w:line="276" w:lineRule="auto"/>
        <w:rPr>
          <w:lang w:val="en-US"/>
        </w:rPr>
      </w:pPr>
      <w:bookmarkStart w:id="0" w:name="_GoBack"/>
      <w:bookmarkEnd w:id="0"/>
    </w:p>
    <w:sectPr w:rsidR="00E23AC1" w:rsidSect="00DD476F">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635CC"/>
    <w:multiLevelType w:val="hybridMultilevel"/>
    <w:tmpl w:val="403A461E"/>
    <w:lvl w:ilvl="0" w:tplc="0ADCF58A">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26BC4262"/>
    <w:multiLevelType w:val="hybridMultilevel"/>
    <w:tmpl w:val="AC027B58"/>
    <w:lvl w:ilvl="0" w:tplc="D86A0DF4">
      <w:start w:val="3"/>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B437174"/>
    <w:multiLevelType w:val="hybridMultilevel"/>
    <w:tmpl w:val="60925C2C"/>
    <w:lvl w:ilvl="0" w:tplc="0ADCF58A">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B4"/>
    <w:rsid w:val="00254217"/>
    <w:rsid w:val="003C2716"/>
    <w:rsid w:val="004E65FA"/>
    <w:rsid w:val="005546E0"/>
    <w:rsid w:val="00567B0F"/>
    <w:rsid w:val="007838B4"/>
    <w:rsid w:val="007E0817"/>
    <w:rsid w:val="00994EFD"/>
    <w:rsid w:val="00A24D32"/>
    <w:rsid w:val="00AC7F7B"/>
    <w:rsid w:val="00C242E7"/>
    <w:rsid w:val="00D7724F"/>
    <w:rsid w:val="00DD476F"/>
    <w:rsid w:val="00E23AC1"/>
    <w:rsid w:val="00E81CCB"/>
    <w:rsid w:val="00EA3D6F"/>
    <w:rsid w:val="00EF19CE"/>
    <w:rsid w:val="00F3360D"/>
    <w:rsid w:val="00F533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F03FA-C2DE-42D7-9E37-5A8FF5B0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3A8"/>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standardp4">
    <w:name w:val="a_standard_p4"/>
    <w:basedOn w:val="Normal"/>
    <w:rsid w:val="00E23AC1"/>
    <w:pPr>
      <w:spacing w:after="0" w:line="240" w:lineRule="auto"/>
      <w:jc w:val="both"/>
    </w:pPr>
    <w:rPr>
      <w:rFonts w:ascii="Times New Roman" w:eastAsia="Times New Roman" w:hAnsi="Times New Roman" w:cs="Times New Roman"/>
      <w:sz w:val="24"/>
      <w:szCs w:val="24"/>
      <w:lang w:val="fr-FR" w:eastAsia="fr-FR"/>
    </w:rPr>
  </w:style>
  <w:style w:type="paragraph" w:customStyle="1" w:styleId="astandardp14">
    <w:name w:val="a_standard_p14"/>
    <w:basedOn w:val="Normal"/>
    <w:rsid w:val="00E23AC1"/>
    <w:pPr>
      <w:spacing w:after="0" w:line="240" w:lineRule="auto"/>
      <w:jc w:val="both"/>
    </w:pPr>
    <w:rPr>
      <w:rFonts w:ascii="Times New Roman" w:eastAsia="Times New Roman" w:hAnsi="Times New Roman" w:cs="Times New Roman"/>
      <w:sz w:val="24"/>
      <w:szCs w:val="24"/>
      <w:lang w:val="fr-FR" w:eastAsia="fr-FR"/>
    </w:rPr>
  </w:style>
  <w:style w:type="character" w:customStyle="1" w:styleId="at3">
    <w:name w:val="a__t3"/>
    <w:rsid w:val="00E23AC1"/>
  </w:style>
  <w:style w:type="character" w:customStyle="1" w:styleId="at71">
    <w:name w:val="a__t71"/>
    <w:rsid w:val="00E23AC1"/>
    <w:rPr>
      <w:i/>
      <w:iCs/>
    </w:rPr>
  </w:style>
  <w:style w:type="character" w:customStyle="1" w:styleId="at10">
    <w:name w:val="a__t10"/>
    <w:rsid w:val="00E23AC1"/>
  </w:style>
  <w:style w:type="character" w:customStyle="1" w:styleId="at111">
    <w:name w:val="a__t111"/>
    <w:rsid w:val="00E23AC1"/>
    <w:rPr>
      <w:i/>
      <w:iCs/>
    </w:rPr>
  </w:style>
  <w:style w:type="character" w:customStyle="1" w:styleId="at5">
    <w:name w:val="a__t5"/>
    <w:rsid w:val="00E23AC1"/>
  </w:style>
  <w:style w:type="character" w:customStyle="1" w:styleId="at91">
    <w:name w:val="a__t91"/>
    <w:rsid w:val="00E23AC1"/>
    <w:rPr>
      <w:i/>
      <w:iCs/>
    </w:rPr>
  </w:style>
  <w:style w:type="character" w:customStyle="1" w:styleId="at121">
    <w:name w:val="a__t121"/>
    <w:rsid w:val="00E23AC1"/>
    <w:rPr>
      <w:i/>
      <w:iCs/>
    </w:rPr>
  </w:style>
  <w:style w:type="character" w:customStyle="1" w:styleId="at13">
    <w:name w:val="a__t13"/>
    <w:rsid w:val="00E23AC1"/>
  </w:style>
  <w:style w:type="character" w:customStyle="1" w:styleId="at141">
    <w:name w:val="a__t141"/>
    <w:rsid w:val="00E23AC1"/>
    <w:rPr>
      <w:i/>
      <w:iCs/>
    </w:rPr>
  </w:style>
  <w:style w:type="character" w:customStyle="1" w:styleId="at15">
    <w:name w:val="a__t15"/>
    <w:rsid w:val="00E23AC1"/>
  </w:style>
  <w:style w:type="character" w:customStyle="1" w:styleId="at161">
    <w:name w:val="a__t161"/>
    <w:rsid w:val="00E23AC1"/>
    <w:rPr>
      <w:i/>
      <w:iCs/>
    </w:rPr>
  </w:style>
  <w:style w:type="character" w:customStyle="1" w:styleId="at17">
    <w:name w:val="a__t17"/>
    <w:rsid w:val="00E23AC1"/>
  </w:style>
  <w:style w:type="character" w:customStyle="1" w:styleId="at18">
    <w:name w:val="a__t18"/>
    <w:rsid w:val="00E23AC1"/>
  </w:style>
  <w:style w:type="character" w:customStyle="1" w:styleId="at201">
    <w:name w:val="a__t201"/>
    <w:rsid w:val="00E23AC1"/>
    <w:rPr>
      <w:i/>
      <w:iCs/>
    </w:rPr>
  </w:style>
  <w:style w:type="character" w:customStyle="1" w:styleId="at191">
    <w:name w:val="a__t191"/>
    <w:rsid w:val="00E23AC1"/>
    <w:rPr>
      <w:i/>
      <w:iCs/>
    </w:rPr>
  </w:style>
  <w:style w:type="character" w:styleId="Lienhypertexte">
    <w:name w:val="Hyperlink"/>
    <w:basedOn w:val="Policepardfaut"/>
    <w:uiPriority w:val="99"/>
    <w:unhideWhenUsed/>
    <w:rsid w:val="00EF19CE"/>
    <w:rPr>
      <w:color w:val="0563C1" w:themeColor="hyperlink"/>
      <w:u w:val="single"/>
    </w:rPr>
  </w:style>
  <w:style w:type="paragraph" w:styleId="Textedebulles">
    <w:name w:val="Balloon Text"/>
    <w:basedOn w:val="Normal"/>
    <w:link w:val="TextedebullesCar"/>
    <w:uiPriority w:val="99"/>
    <w:semiHidden/>
    <w:unhideWhenUsed/>
    <w:rsid w:val="00DD47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476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ia.eu/" TargetMode="External"/><Relationship Id="rId3" Type="http://schemas.openxmlformats.org/officeDocument/2006/relationships/styles" Target="styles.xml"/><Relationship Id="rId7" Type="http://schemas.openxmlformats.org/officeDocument/2006/relationships/hyperlink" Target="mailto:decrayencour@elti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CF7B4-3C94-46CF-98BC-DB9215FA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3133</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3</cp:revision>
  <dcterms:created xsi:type="dcterms:W3CDTF">2014-11-16T11:31:00Z</dcterms:created>
  <dcterms:modified xsi:type="dcterms:W3CDTF">2014-11-16T11:33:00Z</dcterms:modified>
</cp:coreProperties>
</file>