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867" w:rsidRDefault="00AA6708" w:rsidP="006A4335">
      <w:pPr>
        <w:ind w:left="2832"/>
      </w:pPr>
      <w:r>
        <w:rPr>
          <w:noProof/>
          <w:lang w:eastAsia="fr-BE"/>
        </w:rPr>
        <w:drawing>
          <wp:inline distT="0" distB="0" distL="0" distR="0" wp14:anchorId="4B464F10" wp14:editId="26B060EB">
            <wp:extent cx="1885950" cy="1476375"/>
            <wp:effectExtent l="0" t="0" r="0" b="9525"/>
            <wp:docPr id="2" name="Picture 2" descr="C:\Users\Elti_Secretariat\Desktop\ELTI_LOGO_72 dp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Elti_Secretariat\Desktop\ELTI_LOGO_72 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306" cy="1561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4CD" w:rsidRDefault="008924CD"/>
    <w:p w:rsidR="00516694" w:rsidRPr="00C962B0" w:rsidRDefault="00516694" w:rsidP="00516694">
      <w:pPr>
        <w:spacing w:after="0" w:line="240" w:lineRule="auto"/>
        <w:rPr>
          <w:rFonts w:ascii="Arial" w:eastAsia="Arial" w:hAnsi="Arial" w:cs="Arial"/>
          <w:lang w:val="en-GB"/>
        </w:rPr>
      </w:pPr>
    </w:p>
    <w:p w:rsidR="00C962B0" w:rsidRPr="00C962B0" w:rsidRDefault="006351DA" w:rsidP="003C410D">
      <w:pPr>
        <w:spacing w:after="0" w:line="240" w:lineRule="auto"/>
        <w:jc w:val="right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ab/>
      </w:r>
      <w:r>
        <w:rPr>
          <w:rFonts w:ascii="Arial" w:eastAsia="Arial" w:hAnsi="Arial" w:cs="Arial"/>
          <w:lang w:val="en-GB"/>
        </w:rPr>
        <w:tab/>
      </w:r>
      <w:r>
        <w:rPr>
          <w:rFonts w:ascii="Arial" w:eastAsia="Arial" w:hAnsi="Arial" w:cs="Arial"/>
          <w:lang w:val="en-GB"/>
        </w:rPr>
        <w:tab/>
      </w:r>
      <w:r>
        <w:rPr>
          <w:rFonts w:ascii="Arial" w:eastAsia="Arial" w:hAnsi="Arial" w:cs="Arial"/>
          <w:lang w:val="en-GB"/>
        </w:rPr>
        <w:tab/>
      </w:r>
      <w:r>
        <w:rPr>
          <w:rFonts w:ascii="Arial" w:eastAsia="Arial" w:hAnsi="Arial" w:cs="Arial"/>
          <w:lang w:val="en-GB"/>
        </w:rPr>
        <w:tab/>
      </w:r>
      <w:r>
        <w:rPr>
          <w:rFonts w:ascii="Arial" w:eastAsia="Arial" w:hAnsi="Arial" w:cs="Arial"/>
          <w:lang w:val="en-GB"/>
        </w:rPr>
        <w:tab/>
      </w:r>
      <w:r>
        <w:rPr>
          <w:rFonts w:ascii="Arial" w:eastAsia="Arial" w:hAnsi="Arial" w:cs="Arial"/>
          <w:lang w:val="en-GB"/>
        </w:rPr>
        <w:tab/>
      </w:r>
      <w:r>
        <w:rPr>
          <w:rFonts w:ascii="Arial" w:eastAsia="Arial" w:hAnsi="Arial" w:cs="Arial"/>
          <w:lang w:val="en-GB"/>
        </w:rPr>
        <w:tab/>
        <w:t xml:space="preserve">Brussels, </w:t>
      </w:r>
      <w:r w:rsidR="009F2FBF" w:rsidRPr="00C962B0">
        <w:rPr>
          <w:rFonts w:ascii="Arial" w:eastAsia="Arial" w:hAnsi="Arial" w:cs="Arial"/>
          <w:lang w:val="en-GB"/>
        </w:rPr>
        <w:t>1</w:t>
      </w:r>
      <w:r w:rsidR="00A64DB8">
        <w:rPr>
          <w:rFonts w:ascii="Arial" w:eastAsia="Arial" w:hAnsi="Arial" w:cs="Arial"/>
          <w:lang w:val="en-GB"/>
        </w:rPr>
        <w:t>6</w:t>
      </w:r>
      <w:r w:rsidR="009F2FBF" w:rsidRPr="00C962B0">
        <w:rPr>
          <w:rFonts w:ascii="Arial" w:eastAsia="Arial" w:hAnsi="Arial" w:cs="Arial"/>
          <w:lang w:val="en-GB"/>
        </w:rPr>
        <w:t xml:space="preserve"> </w:t>
      </w:r>
      <w:r w:rsidR="00C962B0" w:rsidRPr="00C962B0">
        <w:rPr>
          <w:rFonts w:ascii="Arial" w:eastAsia="Arial" w:hAnsi="Arial" w:cs="Arial"/>
          <w:lang w:val="en-GB"/>
        </w:rPr>
        <w:t>Dec</w:t>
      </w:r>
      <w:r>
        <w:rPr>
          <w:rFonts w:ascii="Arial" w:eastAsia="Arial" w:hAnsi="Arial" w:cs="Arial"/>
          <w:lang w:val="en-GB"/>
        </w:rPr>
        <w:t>ember</w:t>
      </w:r>
      <w:r w:rsidR="00C962B0" w:rsidRPr="00C962B0">
        <w:rPr>
          <w:rFonts w:ascii="Arial" w:eastAsia="Arial" w:hAnsi="Arial" w:cs="Arial"/>
          <w:lang w:val="en-GB"/>
        </w:rPr>
        <w:t xml:space="preserve"> 2014</w:t>
      </w:r>
    </w:p>
    <w:p w:rsidR="00C962B0" w:rsidRDefault="00C962B0" w:rsidP="00516694">
      <w:pPr>
        <w:spacing w:after="0" w:line="240" w:lineRule="auto"/>
        <w:rPr>
          <w:rFonts w:ascii="Arial" w:eastAsia="Arial" w:hAnsi="Arial" w:cs="Arial"/>
          <w:sz w:val="24"/>
          <w:szCs w:val="24"/>
          <w:lang w:val="en-GB"/>
        </w:rPr>
      </w:pPr>
    </w:p>
    <w:p w:rsidR="00C962B0" w:rsidRPr="00AA6602" w:rsidRDefault="00C962B0" w:rsidP="00516694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val="en-GB"/>
        </w:rPr>
      </w:pPr>
    </w:p>
    <w:p w:rsidR="008924CD" w:rsidRPr="009145B9" w:rsidRDefault="00AA6602" w:rsidP="008924CD">
      <w:pPr>
        <w:jc w:val="center"/>
        <w:rPr>
          <w:rFonts w:ascii="Arial" w:hAnsi="Arial" w:cs="Arial"/>
          <w:b/>
          <w:lang w:val="en-GB"/>
        </w:rPr>
      </w:pPr>
      <w:r w:rsidRPr="009145B9">
        <w:rPr>
          <w:rFonts w:ascii="Arial" w:hAnsi="Arial" w:cs="Arial"/>
          <w:b/>
          <w:lang w:val="en-GB"/>
        </w:rPr>
        <w:t>-P</w:t>
      </w:r>
      <w:r w:rsidR="00A327A4" w:rsidRPr="009145B9">
        <w:rPr>
          <w:rFonts w:ascii="Arial" w:hAnsi="Arial" w:cs="Arial"/>
          <w:b/>
          <w:lang w:val="en-GB"/>
        </w:rPr>
        <w:t>ress release-</w:t>
      </w:r>
    </w:p>
    <w:p w:rsidR="00FE4CC3" w:rsidRPr="009145B9" w:rsidRDefault="00FE4CC3" w:rsidP="008924CD">
      <w:pPr>
        <w:jc w:val="center"/>
        <w:rPr>
          <w:rFonts w:ascii="Arial" w:hAnsi="Arial" w:cs="Arial"/>
          <w:lang w:val="en-GB"/>
        </w:rPr>
      </w:pPr>
    </w:p>
    <w:p w:rsidR="00FE4CC3" w:rsidRPr="00A327A4" w:rsidRDefault="00FE4CC3" w:rsidP="005820C8">
      <w:pPr>
        <w:spacing w:before="100" w:beforeAutospacing="1" w:after="100" w:afterAutospacing="1"/>
        <w:jc w:val="center"/>
        <w:rPr>
          <w:rFonts w:ascii="Arial" w:hAnsi="Arial" w:cs="Arial"/>
          <w:lang w:val="en-GB"/>
        </w:rPr>
      </w:pPr>
      <w:r w:rsidRPr="00A327A4">
        <w:rPr>
          <w:rFonts w:ascii="Arial" w:hAnsi="Arial" w:cs="Arial"/>
          <w:lang w:val="en-GB"/>
        </w:rPr>
        <w:t>Establishment of a European Parliament Intergroup on long-term investment and reindustrialisation</w:t>
      </w:r>
    </w:p>
    <w:p w:rsidR="00FE4CC3" w:rsidRPr="00A327A4" w:rsidRDefault="00FE4CC3" w:rsidP="002167A6">
      <w:pPr>
        <w:spacing w:before="100" w:beforeAutospacing="1" w:after="100" w:afterAutospacing="1"/>
        <w:jc w:val="both"/>
        <w:rPr>
          <w:rFonts w:ascii="Arial" w:hAnsi="Arial" w:cs="Arial"/>
          <w:lang w:val="en-GB"/>
        </w:rPr>
      </w:pPr>
      <w:r w:rsidRPr="00A327A4">
        <w:rPr>
          <w:rFonts w:ascii="Arial" w:hAnsi="Arial" w:cs="Arial"/>
          <w:lang w:val="en-GB"/>
        </w:rPr>
        <w:t xml:space="preserve">The European Association of Long-Term Investors (ELTI) welcomes the European Parliament establishment of an Intergroup on long-term investment (LTI) and reindustrialisation. </w:t>
      </w:r>
    </w:p>
    <w:p w:rsidR="00FE4CC3" w:rsidRPr="00A327A4" w:rsidRDefault="00FE4CC3" w:rsidP="002167A6">
      <w:pPr>
        <w:spacing w:before="100" w:beforeAutospacing="1" w:after="100" w:afterAutospacing="1"/>
        <w:jc w:val="both"/>
        <w:rPr>
          <w:rFonts w:ascii="Arial" w:hAnsi="Arial" w:cs="Arial"/>
          <w:lang w:val="en-GB"/>
        </w:rPr>
      </w:pPr>
      <w:r w:rsidRPr="00A327A4">
        <w:rPr>
          <w:rFonts w:ascii="Arial" w:hAnsi="Arial" w:cs="Arial"/>
          <w:lang w:val="en-GB"/>
        </w:rPr>
        <w:t xml:space="preserve">The Parliament decision to set up this dialogue structure is a </w:t>
      </w:r>
      <w:r w:rsidR="004B32CF">
        <w:rPr>
          <w:rFonts w:ascii="Arial" w:hAnsi="Arial" w:cs="Arial"/>
          <w:lang w:val="en-GB"/>
        </w:rPr>
        <w:t xml:space="preserve">further </w:t>
      </w:r>
      <w:r w:rsidRPr="00A327A4">
        <w:rPr>
          <w:rFonts w:ascii="Arial" w:hAnsi="Arial" w:cs="Arial"/>
          <w:lang w:val="en-GB"/>
        </w:rPr>
        <w:t xml:space="preserve">milestone in recognizing the topic of long-term investment as a top priority on the EU agenda. It </w:t>
      </w:r>
      <w:r w:rsidR="004B32CF">
        <w:rPr>
          <w:rFonts w:ascii="Arial" w:hAnsi="Arial" w:cs="Arial"/>
          <w:lang w:val="en-GB"/>
        </w:rPr>
        <w:t>will</w:t>
      </w:r>
      <w:r w:rsidR="004B32CF" w:rsidRPr="00A327A4">
        <w:rPr>
          <w:rFonts w:ascii="Arial" w:hAnsi="Arial" w:cs="Arial"/>
          <w:lang w:val="en-GB"/>
        </w:rPr>
        <w:t xml:space="preserve"> </w:t>
      </w:r>
      <w:r w:rsidRPr="00A327A4">
        <w:rPr>
          <w:rFonts w:ascii="Arial" w:hAnsi="Arial" w:cs="Arial"/>
          <w:lang w:val="en-GB"/>
        </w:rPr>
        <w:t xml:space="preserve">facilitate </w:t>
      </w:r>
      <w:r w:rsidR="00544C66">
        <w:rPr>
          <w:rFonts w:ascii="Arial" w:hAnsi="Arial" w:cs="Arial"/>
          <w:lang w:val="en-GB"/>
        </w:rPr>
        <w:t>exchanges</w:t>
      </w:r>
      <w:r w:rsidR="00544C66" w:rsidRPr="00A327A4">
        <w:rPr>
          <w:rFonts w:ascii="Arial" w:hAnsi="Arial" w:cs="Arial"/>
          <w:lang w:val="en-GB"/>
        </w:rPr>
        <w:t xml:space="preserve"> </w:t>
      </w:r>
      <w:r w:rsidRPr="00A327A4">
        <w:rPr>
          <w:rFonts w:ascii="Arial" w:hAnsi="Arial" w:cs="Arial"/>
          <w:lang w:val="en-GB"/>
        </w:rPr>
        <w:t xml:space="preserve">between the </w:t>
      </w:r>
      <w:r w:rsidR="004B32CF">
        <w:rPr>
          <w:rFonts w:ascii="Arial" w:hAnsi="Arial" w:cs="Arial"/>
          <w:lang w:val="en-GB"/>
        </w:rPr>
        <w:t>Members of the European Parliament and long term investors</w:t>
      </w:r>
      <w:r w:rsidR="00544C66">
        <w:rPr>
          <w:rFonts w:ascii="Arial" w:hAnsi="Arial" w:cs="Arial"/>
          <w:lang w:val="en-GB"/>
        </w:rPr>
        <w:t xml:space="preserve"> and deepen the understanding for some of the most pressing issues for the EU’s competitiveness</w:t>
      </w:r>
      <w:r w:rsidR="00B73BC7">
        <w:rPr>
          <w:rFonts w:ascii="Arial" w:hAnsi="Arial" w:cs="Arial"/>
          <w:lang w:val="en-GB"/>
        </w:rPr>
        <w:t>,</w:t>
      </w:r>
      <w:r w:rsidR="00544C66">
        <w:rPr>
          <w:rFonts w:ascii="Arial" w:hAnsi="Arial" w:cs="Arial"/>
          <w:lang w:val="en-GB"/>
        </w:rPr>
        <w:t xml:space="preserve"> </w:t>
      </w:r>
      <w:r w:rsidR="00B73BC7">
        <w:rPr>
          <w:rFonts w:ascii="Arial" w:hAnsi="Arial" w:cs="Arial"/>
          <w:lang w:val="en-GB"/>
        </w:rPr>
        <w:t xml:space="preserve">sustainable </w:t>
      </w:r>
      <w:r w:rsidR="00544C66">
        <w:rPr>
          <w:rFonts w:ascii="Arial" w:hAnsi="Arial" w:cs="Arial"/>
          <w:lang w:val="en-GB"/>
        </w:rPr>
        <w:t>growth</w:t>
      </w:r>
      <w:r w:rsidR="00B73BC7">
        <w:rPr>
          <w:rFonts w:ascii="Arial" w:hAnsi="Arial" w:cs="Arial"/>
          <w:lang w:val="en-GB"/>
        </w:rPr>
        <w:t xml:space="preserve"> and employment</w:t>
      </w:r>
      <w:r w:rsidR="004B32CF">
        <w:rPr>
          <w:rFonts w:ascii="Arial" w:hAnsi="Arial" w:cs="Arial"/>
          <w:lang w:val="en-GB"/>
        </w:rPr>
        <w:t>.</w:t>
      </w:r>
    </w:p>
    <w:p w:rsidR="00F74458" w:rsidRDefault="00F74458" w:rsidP="00F74458">
      <w:pPr>
        <w:jc w:val="both"/>
        <w:rPr>
          <w:rFonts w:ascii="Arial" w:hAnsi="Arial" w:cs="Arial"/>
          <w:lang w:val="en-GB"/>
        </w:rPr>
      </w:pPr>
      <w:r w:rsidRPr="00F74458">
        <w:rPr>
          <w:rFonts w:ascii="Arial" w:hAnsi="Arial" w:cs="Arial"/>
          <w:lang w:val="en-GB"/>
        </w:rPr>
        <w:t>This discussion group should encourage reflection and be an essential forum for</w:t>
      </w:r>
      <w:r w:rsidR="00382A10">
        <w:rPr>
          <w:rFonts w:ascii="Arial" w:hAnsi="Arial" w:cs="Arial"/>
          <w:lang w:val="en-GB"/>
        </w:rPr>
        <w:t xml:space="preserve"> a continuous review of the prevailing prospects for</w:t>
      </w:r>
      <w:r w:rsidRPr="00F74458">
        <w:rPr>
          <w:rFonts w:ascii="Arial" w:hAnsi="Arial" w:cs="Arial"/>
          <w:lang w:val="en-GB"/>
        </w:rPr>
        <w:t xml:space="preserve"> LTI. </w:t>
      </w:r>
      <w:r w:rsidR="00382A10">
        <w:rPr>
          <w:rFonts w:ascii="Arial" w:hAnsi="Arial" w:cs="Arial"/>
          <w:lang w:val="en-GB"/>
        </w:rPr>
        <w:t xml:space="preserve">The ELTI association hopes that the </w:t>
      </w:r>
      <w:r w:rsidRPr="00F74458">
        <w:rPr>
          <w:rFonts w:ascii="Arial" w:hAnsi="Arial" w:cs="Arial"/>
          <w:lang w:val="en-GB"/>
        </w:rPr>
        <w:t xml:space="preserve">intergroup </w:t>
      </w:r>
      <w:r w:rsidR="00382A10">
        <w:rPr>
          <w:rFonts w:ascii="Arial" w:hAnsi="Arial" w:cs="Arial"/>
          <w:lang w:val="en-GB"/>
        </w:rPr>
        <w:t>will</w:t>
      </w:r>
      <w:r w:rsidR="009F2FBF" w:rsidRPr="00F74458">
        <w:rPr>
          <w:rFonts w:ascii="Arial" w:hAnsi="Arial" w:cs="Arial"/>
          <w:lang w:val="en-GB"/>
        </w:rPr>
        <w:t xml:space="preserve"> </w:t>
      </w:r>
      <w:r w:rsidRPr="00F74458">
        <w:rPr>
          <w:rFonts w:ascii="Arial" w:hAnsi="Arial" w:cs="Arial"/>
          <w:lang w:val="en-GB"/>
        </w:rPr>
        <w:t>allow to address all issues rel</w:t>
      </w:r>
      <w:r w:rsidR="00382A10">
        <w:rPr>
          <w:rFonts w:ascii="Arial" w:hAnsi="Arial" w:cs="Arial"/>
          <w:lang w:val="en-GB"/>
        </w:rPr>
        <w:t>evant</w:t>
      </w:r>
      <w:r w:rsidRPr="00F74458">
        <w:rPr>
          <w:rFonts w:ascii="Arial" w:hAnsi="Arial" w:cs="Arial"/>
          <w:lang w:val="en-GB"/>
        </w:rPr>
        <w:t xml:space="preserve"> to LTI including accounting, statistics and prudential treatment of long-term investment, focusing on the relevant priority </w:t>
      </w:r>
      <w:r w:rsidR="009F0A6D" w:rsidRPr="00F74458">
        <w:rPr>
          <w:rFonts w:ascii="Arial" w:hAnsi="Arial" w:cs="Arial"/>
          <w:lang w:val="en-GB"/>
        </w:rPr>
        <w:t>sectors:</w:t>
      </w:r>
      <w:r w:rsidRPr="00F74458">
        <w:rPr>
          <w:rFonts w:ascii="Arial" w:hAnsi="Arial" w:cs="Arial"/>
          <w:lang w:val="en-GB"/>
        </w:rPr>
        <w:t xml:space="preserve"> industry, infrastructure, innovation, energy efficiency, SMEs.</w:t>
      </w:r>
    </w:p>
    <w:p w:rsidR="0030351A" w:rsidRDefault="009145B9" w:rsidP="009145B9">
      <w:pPr>
        <w:jc w:val="both"/>
        <w:rPr>
          <w:rFonts w:ascii="Arial" w:hAnsi="Arial" w:cs="Arial"/>
          <w:lang w:val="en-GB"/>
        </w:rPr>
      </w:pPr>
      <w:r w:rsidRPr="009145B9">
        <w:rPr>
          <w:rFonts w:ascii="Arial" w:hAnsi="Arial" w:cs="Arial"/>
          <w:lang w:val="en-GB"/>
        </w:rPr>
        <w:t xml:space="preserve">Alongside the MEPs who actively campaigned for its establishment, </w:t>
      </w:r>
      <w:r w:rsidR="009F2FBF">
        <w:rPr>
          <w:rFonts w:ascii="Arial" w:hAnsi="Arial" w:cs="Arial"/>
          <w:lang w:val="en-GB"/>
        </w:rPr>
        <w:t xml:space="preserve">ELTI members, </w:t>
      </w:r>
      <w:r w:rsidRPr="009145B9">
        <w:rPr>
          <w:rFonts w:ascii="Arial" w:hAnsi="Arial" w:cs="Arial"/>
          <w:lang w:val="en-GB"/>
        </w:rPr>
        <w:t xml:space="preserve">federations, professional organisations, trade unions and think tanks did join forces in favour of this initiative. </w:t>
      </w:r>
      <w:r w:rsidR="009F2FBF">
        <w:rPr>
          <w:rFonts w:ascii="Arial" w:hAnsi="Arial" w:cs="Arial"/>
          <w:lang w:val="en-GB"/>
        </w:rPr>
        <w:t xml:space="preserve"> </w:t>
      </w:r>
      <w:r w:rsidR="00EA0461">
        <w:rPr>
          <w:rFonts w:ascii="Arial" w:hAnsi="Arial" w:cs="Arial"/>
          <w:lang w:val="en-GB"/>
        </w:rPr>
        <w:t>Members of the</w:t>
      </w:r>
      <w:r w:rsidR="009F2FBF">
        <w:rPr>
          <w:rFonts w:ascii="Arial" w:hAnsi="Arial" w:cs="Arial"/>
          <w:lang w:val="en-GB"/>
        </w:rPr>
        <w:t xml:space="preserve"> </w:t>
      </w:r>
      <w:r w:rsidRPr="009145B9">
        <w:rPr>
          <w:rFonts w:ascii="Arial" w:hAnsi="Arial" w:cs="Arial"/>
          <w:lang w:val="en-GB"/>
        </w:rPr>
        <w:t xml:space="preserve">ELTI </w:t>
      </w:r>
      <w:r w:rsidR="00EA0461">
        <w:rPr>
          <w:rFonts w:ascii="Arial" w:hAnsi="Arial" w:cs="Arial"/>
          <w:lang w:val="en-GB"/>
        </w:rPr>
        <w:t>A</w:t>
      </w:r>
      <w:r w:rsidRPr="009145B9">
        <w:rPr>
          <w:rFonts w:ascii="Arial" w:hAnsi="Arial" w:cs="Arial"/>
          <w:lang w:val="en-GB"/>
        </w:rPr>
        <w:t xml:space="preserve">ssociation are ready to support the </w:t>
      </w:r>
      <w:proofErr w:type="spellStart"/>
      <w:r w:rsidRPr="009145B9">
        <w:rPr>
          <w:rFonts w:ascii="Arial" w:hAnsi="Arial" w:cs="Arial"/>
          <w:lang w:val="en-GB"/>
        </w:rPr>
        <w:t>intergroup’s</w:t>
      </w:r>
      <w:proofErr w:type="spellEnd"/>
      <w:r w:rsidRPr="009145B9">
        <w:rPr>
          <w:rFonts w:ascii="Arial" w:hAnsi="Arial" w:cs="Arial"/>
          <w:lang w:val="en-GB"/>
        </w:rPr>
        <w:t xml:space="preserve"> work and actively participate in a cross-cutting dialogue on LTI to strengthen financing of the real economy.</w:t>
      </w:r>
    </w:p>
    <w:p w:rsidR="00E93C5A" w:rsidRDefault="00E93C5A" w:rsidP="00E93C5A">
      <w:pPr>
        <w:spacing w:after="0" w:line="240" w:lineRule="auto"/>
        <w:jc w:val="both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 xml:space="preserve">Contact: </w:t>
      </w:r>
    </w:p>
    <w:p w:rsidR="00E93C5A" w:rsidRDefault="00E93C5A" w:rsidP="00E93C5A">
      <w:pPr>
        <w:spacing w:after="0" w:line="240" w:lineRule="auto"/>
        <w:jc w:val="both"/>
        <w:rPr>
          <w:rFonts w:ascii="Arial" w:hAnsi="Arial"/>
          <w:sz w:val="20"/>
          <w:szCs w:val="20"/>
          <w:lang w:val="es-ES_tradnl"/>
        </w:rPr>
      </w:pPr>
      <w:r>
        <w:rPr>
          <w:rFonts w:ascii="Arial" w:hAnsi="Arial"/>
          <w:sz w:val="20"/>
          <w:szCs w:val="20"/>
          <w:lang w:val="es-ES_tradnl"/>
        </w:rPr>
        <w:t>Secretary-General D. de Crayencour</w:t>
      </w:r>
    </w:p>
    <w:p w:rsidR="00E93C5A" w:rsidRDefault="000434FD" w:rsidP="00E93C5A">
      <w:pPr>
        <w:spacing w:after="0" w:line="240" w:lineRule="auto"/>
        <w:jc w:val="both"/>
        <w:rPr>
          <w:rFonts w:ascii="Arial" w:hAnsi="Arial"/>
          <w:sz w:val="20"/>
          <w:szCs w:val="20"/>
          <w:u w:val="single"/>
          <w:lang w:val="es-ES_tradnl"/>
        </w:rPr>
      </w:pPr>
      <w:hyperlink r:id="rId6" w:history="1">
        <w:r w:rsidR="00E93C5A">
          <w:rPr>
            <w:rStyle w:val="Hyperlink"/>
            <w:rFonts w:ascii="Arial" w:hAnsi="Arial"/>
            <w:sz w:val="20"/>
            <w:szCs w:val="20"/>
            <w:lang w:val="es-ES_tradnl"/>
          </w:rPr>
          <w:t>decrayencour@eltia.eu</w:t>
        </w:r>
      </w:hyperlink>
    </w:p>
    <w:p w:rsidR="00E93C5A" w:rsidRDefault="000434FD" w:rsidP="00E93C5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hyperlink r:id="rId7" w:history="1">
        <w:r w:rsidR="00E93C5A">
          <w:rPr>
            <w:rStyle w:val="Hyperlink"/>
            <w:rFonts w:ascii="Arial" w:hAnsi="Arial" w:cs="Arial"/>
            <w:sz w:val="20"/>
            <w:szCs w:val="20"/>
            <w:lang w:val="es-ES_tradnl"/>
          </w:rPr>
          <w:t>http://www.eltia.eu/</w:t>
        </w:r>
      </w:hyperlink>
    </w:p>
    <w:p w:rsidR="00E93C5A" w:rsidRDefault="00E93C5A" w:rsidP="00E93C5A">
      <w:pPr>
        <w:spacing w:after="0" w:line="240" w:lineRule="auto"/>
        <w:rPr>
          <w:u w:val="single"/>
          <w:lang w:val="es-ES_tradnl"/>
        </w:rPr>
      </w:pPr>
    </w:p>
    <w:p w:rsidR="00E93C5A" w:rsidRDefault="00E93C5A" w:rsidP="00E93C5A">
      <w:pPr>
        <w:spacing w:after="0" w:line="240" w:lineRule="auto"/>
        <w:jc w:val="both"/>
        <w:rPr>
          <w:lang w:val="es-ES_tradnl"/>
        </w:rPr>
      </w:pPr>
    </w:p>
    <w:p w:rsidR="00E93C5A" w:rsidRDefault="00E93C5A" w:rsidP="00E93C5A">
      <w:pPr>
        <w:spacing w:after="0" w:line="240" w:lineRule="auto"/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***</w:t>
      </w:r>
    </w:p>
    <w:p w:rsidR="00E93C5A" w:rsidRDefault="00E93C5A" w:rsidP="00E93C5A">
      <w:pPr>
        <w:spacing w:after="0" w:line="240" w:lineRule="auto"/>
        <w:jc w:val="both"/>
        <w:rPr>
          <w:rFonts w:ascii="Arial" w:hAnsi="Arial" w:cs="Arial"/>
          <w:sz w:val="20"/>
          <w:lang w:val="en-US"/>
        </w:rPr>
      </w:pPr>
    </w:p>
    <w:p w:rsidR="00E93C5A" w:rsidRDefault="00E93C5A" w:rsidP="00E93C5A">
      <w:pPr>
        <w:spacing w:after="0" w:line="240" w:lineRule="auto"/>
        <w:jc w:val="both"/>
        <w:rPr>
          <w:rFonts w:ascii="Arial" w:hAnsi="Arial" w:cs="Arial"/>
          <w:sz w:val="20"/>
          <w:lang w:val="en-US"/>
        </w:rPr>
      </w:pPr>
    </w:p>
    <w:p w:rsidR="00E93C5A" w:rsidRDefault="00E93C5A" w:rsidP="00E93C5A">
      <w:pPr>
        <w:spacing w:after="0" w:line="240" w:lineRule="auto"/>
        <w:jc w:val="both"/>
        <w:rPr>
          <w:rFonts w:ascii="Arial" w:hAnsi="Arial" w:cs="Arial"/>
          <w:sz w:val="20"/>
          <w:lang w:val="en-US"/>
        </w:rPr>
      </w:pPr>
    </w:p>
    <w:p w:rsidR="00E93C5A" w:rsidRDefault="00E93C5A" w:rsidP="00E93C5A">
      <w:pPr>
        <w:spacing w:after="0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u w:val="single"/>
          <w:lang w:val="en-US"/>
        </w:rPr>
        <w:lastRenderedPageBreak/>
        <w:t>About ELTI</w:t>
      </w:r>
      <w:r>
        <w:rPr>
          <w:rFonts w:ascii="Arial" w:hAnsi="Arial" w:cs="Arial"/>
          <w:sz w:val="20"/>
          <w:lang w:val="en-US"/>
        </w:rPr>
        <w:t xml:space="preserve">: </w:t>
      </w:r>
      <w:r>
        <w:rPr>
          <w:rFonts w:ascii="Arial" w:hAnsi="Arial" w:cs="Arial"/>
          <w:i/>
          <w:sz w:val="20"/>
          <w:lang w:val="en-US"/>
        </w:rPr>
        <w:t>Launched after the publication of the European Commission Green Paper on the Long-Term financing of the European Economy, in July 2013, the Association gathers 22 European long-term financial institutions. With a combined balance sheet of € 2.3 trillion, ELTI’s goal is to promote long-term investment in close alignment with the objectives and initiatives developed by the European Union to foster sustainable, smart and inclusive growth and job creation.</w:t>
      </w:r>
      <w:r>
        <w:rPr>
          <w:rFonts w:ascii="Arial" w:hAnsi="Arial" w:cs="Arial"/>
          <w:sz w:val="20"/>
          <w:lang w:val="en-US"/>
        </w:rPr>
        <w:t xml:space="preserve"> </w:t>
      </w:r>
    </w:p>
    <w:p w:rsidR="00E93C5A" w:rsidRPr="00E93C5A" w:rsidRDefault="00E93C5A" w:rsidP="00E93C5A">
      <w:pPr>
        <w:pStyle w:val="astandardp14"/>
        <w:rPr>
          <w:rStyle w:val="at3"/>
          <w:sz w:val="18"/>
          <w:u w:val="single"/>
          <w:lang w:val="en-GB"/>
        </w:rPr>
      </w:pPr>
    </w:p>
    <w:p w:rsidR="00E93C5A" w:rsidRDefault="00E93C5A" w:rsidP="00E93C5A">
      <w:pPr>
        <w:pStyle w:val="astandardp14"/>
        <w:rPr>
          <w:rStyle w:val="at3"/>
          <w:rFonts w:ascii="Arial" w:hAnsi="Arial" w:cs="Arial"/>
          <w:sz w:val="18"/>
          <w:u w:val="single"/>
          <w:lang w:val="en-US"/>
        </w:rPr>
      </w:pPr>
    </w:p>
    <w:p w:rsidR="00E93C5A" w:rsidRDefault="00E93C5A" w:rsidP="00E93C5A">
      <w:pPr>
        <w:pStyle w:val="astandardp14"/>
        <w:spacing w:line="276" w:lineRule="auto"/>
        <w:rPr>
          <w:rStyle w:val="at3"/>
          <w:rFonts w:ascii="Arial" w:hAnsi="Arial" w:cs="Arial"/>
          <w:sz w:val="18"/>
          <w:lang w:val="en-US"/>
        </w:rPr>
      </w:pPr>
      <w:r>
        <w:rPr>
          <w:rStyle w:val="at3"/>
          <w:rFonts w:ascii="Arial" w:hAnsi="Arial" w:cs="Arial"/>
          <w:sz w:val="18"/>
          <w:u w:val="single"/>
          <w:lang w:val="en-US"/>
        </w:rPr>
        <w:t>List of ELTI members (</w:t>
      </w:r>
      <w:r>
        <w:rPr>
          <w:rStyle w:val="at71"/>
          <w:rFonts w:ascii="Arial" w:hAnsi="Arial" w:cs="Arial"/>
          <w:sz w:val="18"/>
          <w:u w:val="single"/>
          <w:lang w:val="en-US"/>
        </w:rPr>
        <w:t>assets in brackets</w:t>
      </w:r>
      <w:r>
        <w:rPr>
          <w:rStyle w:val="at3"/>
          <w:rFonts w:ascii="Arial" w:hAnsi="Arial" w:cs="Arial"/>
          <w:sz w:val="18"/>
          <w:u w:val="single"/>
          <w:lang w:val="en-US"/>
        </w:rPr>
        <w:t>)</w:t>
      </w:r>
      <w:r>
        <w:rPr>
          <w:rStyle w:val="at3"/>
          <w:rFonts w:ascii="Arial" w:hAnsi="Arial" w:cs="Arial"/>
          <w:sz w:val="18"/>
          <w:lang w:val="en-US"/>
        </w:rPr>
        <w:t>:</w:t>
      </w:r>
    </w:p>
    <w:p w:rsidR="00E93C5A" w:rsidRDefault="00E93C5A" w:rsidP="00E93C5A">
      <w:pPr>
        <w:pStyle w:val="astandardp14"/>
        <w:spacing w:line="276" w:lineRule="auto"/>
        <w:rPr>
          <w:rStyle w:val="at3"/>
          <w:rFonts w:ascii="Arial" w:hAnsi="Arial" w:cs="Arial"/>
          <w:sz w:val="18"/>
          <w:u w:val="single"/>
          <w:lang w:val="en-US"/>
        </w:rPr>
      </w:pPr>
    </w:p>
    <w:p w:rsidR="00E93C5A" w:rsidRDefault="00E93C5A" w:rsidP="00E93C5A">
      <w:pPr>
        <w:pStyle w:val="astandardp14"/>
        <w:spacing w:line="276" w:lineRule="auto"/>
      </w:pPr>
      <w:r>
        <w:rPr>
          <w:rStyle w:val="at3"/>
          <w:rFonts w:ascii="Arial" w:hAnsi="Arial" w:cs="Arial"/>
          <w:sz w:val="18"/>
          <w:u w:val="single"/>
          <w:lang w:val="en-US"/>
        </w:rPr>
        <w:t>Full Members</w:t>
      </w:r>
    </w:p>
    <w:p w:rsidR="00E93C5A" w:rsidRPr="00AF5AF7" w:rsidRDefault="00AF5AF7" w:rsidP="00AF5AF7">
      <w:pPr>
        <w:pStyle w:val="astandardp4"/>
        <w:numPr>
          <w:ilvl w:val="0"/>
          <w:numId w:val="2"/>
        </w:numPr>
        <w:spacing w:before="120" w:line="276" w:lineRule="auto"/>
        <w:rPr>
          <w:rStyle w:val="at71"/>
          <w:rFonts w:ascii="Arial" w:hAnsi="Arial" w:cs="Arial"/>
          <w:i w:val="0"/>
          <w:iCs w:val="0"/>
          <w:sz w:val="18"/>
          <w:lang w:val="en-US"/>
        </w:rPr>
      </w:pPr>
      <w:r>
        <w:rPr>
          <w:rStyle w:val="at3"/>
          <w:rFonts w:ascii="Arial" w:hAnsi="Arial" w:cs="Arial"/>
          <w:sz w:val="18"/>
          <w:lang w:val="en-US"/>
        </w:rPr>
        <w:t>Belgium</w:t>
      </w:r>
      <w:r w:rsidR="00E93C5A">
        <w:rPr>
          <w:rStyle w:val="at3"/>
          <w:rFonts w:ascii="Arial" w:hAnsi="Arial" w:cs="Arial"/>
          <w:sz w:val="18"/>
          <w:lang w:val="en-US"/>
        </w:rPr>
        <w:t>:</w:t>
      </w:r>
      <w:r w:rsidR="00E93C5A">
        <w:rPr>
          <w:rStyle w:val="at71"/>
          <w:rFonts w:ascii="Arial" w:hAnsi="Arial" w:cs="Arial"/>
          <w:sz w:val="18"/>
          <w:lang w:val="en-US"/>
        </w:rPr>
        <w:t xml:space="preserve"> </w:t>
      </w:r>
      <w:r w:rsidRPr="00AF5AF7">
        <w:rPr>
          <w:rStyle w:val="at71"/>
          <w:rFonts w:ascii="Arial" w:hAnsi="Arial" w:cs="Arial"/>
          <w:sz w:val="18"/>
          <w:lang w:val="en-US"/>
        </w:rPr>
        <w:t>The Federal Holding and Investment Company</w:t>
      </w:r>
      <w:r w:rsidR="00FF49FE">
        <w:rPr>
          <w:rStyle w:val="at71"/>
          <w:rFonts w:ascii="Arial" w:hAnsi="Arial" w:cs="Arial"/>
          <w:sz w:val="18"/>
          <w:lang w:val="en-US"/>
        </w:rPr>
        <w:t xml:space="preserve"> “SFPI” </w:t>
      </w:r>
      <w:r w:rsidR="005E37E6">
        <w:rPr>
          <w:rStyle w:val="at71"/>
          <w:rFonts w:ascii="Arial" w:hAnsi="Arial" w:cs="Arial"/>
          <w:sz w:val="18"/>
          <w:lang w:val="en-US"/>
        </w:rPr>
        <w:t xml:space="preserve">(€ 0.775 </w:t>
      </w:r>
      <w:proofErr w:type="spellStart"/>
      <w:r w:rsidR="005E37E6">
        <w:rPr>
          <w:rStyle w:val="at71"/>
          <w:rFonts w:ascii="Arial" w:hAnsi="Arial" w:cs="Arial"/>
          <w:sz w:val="18"/>
          <w:lang w:val="en-US"/>
        </w:rPr>
        <w:t>bn</w:t>
      </w:r>
      <w:proofErr w:type="spellEnd"/>
      <w:r w:rsidR="005E37E6">
        <w:rPr>
          <w:rStyle w:val="at71"/>
          <w:rFonts w:ascii="Arial" w:hAnsi="Arial" w:cs="Arial"/>
          <w:sz w:val="18"/>
          <w:lang w:val="en-US"/>
        </w:rPr>
        <w:t>)</w:t>
      </w:r>
    </w:p>
    <w:p w:rsidR="00AF5AF7" w:rsidRPr="00AF5AF7" w:rsidRDefault="00AF5AF7" w:rsidP="00AF5AF7">
      <w:pPr>
        <w:pStyle w:val="astandardp4"/>
        <w:numPr>
          <w:ilvl w:val="0"/>
          <w:numId w:val="2"/>
        </w:numPr>
        <w:spacing w:before="120" w:line="276" w:lineRule="auto"/>
        <w:rPr>
          <w:rFonts w:ascii="Arial" w:hAnsi="Arial" w:cs="Arial"/>
          <w:sz w:val="18"/>
          <w:lang w:val="en-US"/>
        </w:rPr>
      </w:pPr>
      <w:r>
        <w:rPr>
          <w:rStyle w:val="at3"/>
          <w:rFonts w:ascii="Arial" w:hAnsi="Arial" w:cs="Arial"/>
          <w:sz w:val="18"/>
          <w:lang w:val="en-US"/>
        </w:rPr>
        <w:t>Bulgaria:</w:t>
      </w:r>
      <w:r>
        <w:rPr>
          <w:rStyle w:val="at71"/>
          <w:rFonts w:ascii="Arial" w:hAnsi="Arial" w:cs="Arial"/>
          <w:sz w:val="18"/>
          <w:lang w:val="en-US"/>
        </w:rPr>
        <w:t xml:space="preserve"> Bulgarian Development Bank “BDB” (€ 0.850 </w:t>
      </w:r>
      <w:proofErr w:type="spellStart"/>
      <w:r>
        <w:rPr>
          <w:rStyle w:val="at71"/>
          <w:rFonts w:ascii="Arial" w:hAnsi="Arial" w:cs="Arial"/>
          <w:sz w:val="18"/>
          <w:lang w:val="en-US"/>
        </w:rPr>
        <w:t>bn</w:t>
      </w:r>
      <w:proofErr w:type="spellEnd"/>
      <w:r>
        <w:rPr>
          <w:rStyle w:val="at71"/>
          <w:rFonts w:ascii="Arial" w:hAnsi="Arial" w:cs="Arial"/>
          <w:sz w:val="18"/>
          <w:lang w:val="en-US"/>
        </w:rPr>
        <w:t>)</w:t>
      </w:r>
    </w:p>
    <w:p w:rsidR="00E93C5A" w:rsidRDefault="00E93C5A" w:rsidP="00E93C5A">
      <w:pPr>
        <w:pStyle w:val="astandardp4"/>
        <w:numPr>
          <w:ilvl w:val="0"/>
          <w:numId w:val="2"/>
        </w:numPr>
        <w:spacing w:before="120" w:line="276" w:lineRule="auto"/>
        <w:rPr>
          <w:rFonts w:ascii="Arial" w:hAnsi="Arial" w:cs="Arial"/>
          <w:sz w:val="18"/>
          <w:lang w:val="en-US"/>
        </w:rPr>
      </w:pPr>
      <w:r>
        <w:rPr>
          <w:rStyle w:val="at3"/>
          <w:rFonts w:ascii="Arial" w:hAnsi="Arial" w:cs="Arial"/>
          <w:sz w:val="18"/>
          <w:lang w:val="en-US"/>
        </w:rPr>
        <w:t>Croatia:</w:t>
      </w:r>
      <w:r>
        <w:rPr>
          <w:rStyle w:val="at71"/>
          <w:rFonts w:ascii="Arial" w:hAnsi="Arial" w:cs="Arial"/>
          <w:sz w:val="18"/>
          <w:lang w:val="en-US"/>
        </w:rPr>
        <w:t xml:space="preserve"> Croatian bank for reconstruction and Development “HBOR” (€ 3.4 </w:t>
      </w:r>
      <w:proofErr w:type="spellStart"/>
      <w:r>
        <w:rPr>
          <w:rStyle w:val="at71"/>
          <w:rFonts w:ascii="Arial" w:hAnsi="Arial" w:cs="Arial"/>
          <w:sz w:val="18"/>
          <w:lang w:val="en-US"/>
        </w:rPr>
        <w:t>bn</w:t>
      </w:r>
      <w:proofErr w:type="spellEnd"/>
      <w:r>
        <w:rPr>
          <w:rStyle w:val="at71"/>
          <w:rFonts w:ascii="Arial" w:hAnsi="Arial" w:cs="Arial"/>
          <w:sz w:val="18"/>
          <w:lang w:val="en-US"/>
        </w:rPr>
        <w:t>)</w:t>
      </w:r>
    </w:p>
    <w:p w:rsidR="00E93C5A" w:rsidRDefault="00E93C5A" w:rsidP="00E93C5A">
      <w:pPr>
        <w:pStyle w:val="astandardp4"/>
        <w:numPr>
          <w:ilvl w:val="0"/>
          <w:numId w:val="2"/>
        </w:numPr>
        <w:spacing w:before="120" w:line="276" w:lineRule="auto"/>
        <w:rPr>
          <w:rFonts w:ascii="Arial" w:hAnsi="Arial" w:cs="Arial"/>
          <w:sz w:val="18"/>
          <w:lang w:val="en-US"/>
        </w:rPr>
      </w:pPr>
      <w:r>
        <w:rPr>
          <w:rStyle w:val="at3"/>
          <w:rFonts w:ascii="Arial" w:hAnsi="Arial" w:cs="Arial"/>
          <w:sz w:val="18"/>
          <w:lang w:val="en-US"/>
        </w:rPr>
        <w:t>Czech Republic:</w:t>
      </w:r>
      <w:r>
        <w:rPr>
          <w:rStyle w:val="at71"/>
          <w:rFonts w:ascii="Arial" w:hAnsi="Arial" w:cs="Arial"/>
          <w:sz w:val="18"/>
          <w:lang w:val="en-US"/>
        </w:rPr>
        <w:t xml:space="preserve"> </w:t>
      </w:r>
      <w:proofErr w:type="spellStart"/>
      <w:r>
        <w:rPr>
          <w:rStyle w:val="at71"/>
          <w:rFonts w:ascii="Arial" w:hAnsi="Arial" w:cs="Arial"/>
          <w:sz w:val="18"/>
          <w:lang w:val="en-US"/>
        </w:rPr>
        <w:t>Ceskomoravska</w:t>
      </w:r>
      <w:proofErr w:type="spellEnd"/>
      <w:r>
        <w:rPr>
          <w:rStyle w:val="at71"/>
          <w:rFonts w:ascii="Arial" w:hAnsi="Arial" w:cs="Arial"/>
          <w:sz w:val="18"/>
          <w:lang w:val="en-US"/>
        </w:rPr>
        <w:t xml:space="preserve"> </w:t>
      </w:r>
      <w:proofErr w:type="spellStart"/>
      <w:r>
        <w:rPr>
          <w:rStyle w:val="at71"/>
          <w:rFonts w:ascii="Arial" w:hAnsi="Arial" w:cs="Arial"/>
          <w:sz w:val="18"/>
          <w:lang w:val="en-US"/>
        </w:rPr>
        <w:t>zarucni</w:t>
      </w:r>
      <w:proofErr w:type="spellEnd"/>
      <w:r>
        <w:rPr>
          <w:rStyle w:val="at71"/>
          <w:rFonts w:ascii="Arial" w:hAnsi="Arial" w:cs="Arial"/>
          <w:sz w:val="18"/>
          <w:lang w:val="en-US"/>
        </w:rPr>
        <w:t xml:space="preserve"> a </w:t>
      </w:r>
      <w:proofErr w:type="spellStart"/>
      <w:r>
        <w:rPr>
          <w:rStyle w:val="at71"/>
          <w:rFonts w:ascii="Arial" w:hAnsi="Arial" w:cs="Arial"/>
          <w:sz w:val="18"/>
          <w:lang w:val="en-US"/>
        </w:rPr>
        <w:t>rozvojova</w:t>
      </w:r>
      <w:proofErr w:type="spellEnd"/>
      <w:r>
        <w:rPr>
          <w:rStyle w:val="at71"/>
          <w:rFonts w:ascii="Arial" w:hAnsi="Arial" w:cs="Arial"/>
          <w:sz w:val="18"/>
          <w:lang w:val="en-US"/>
        </w:rPr>
        <w:t xml:space="preserve"> </w:t>
      </w:r>
      <w:proofErr w:type="spellStart"/>
      <w:r>
        <w:rPr>
          <w:rStyle w:val="at71"/>
          <w:rFonts w:ascii="Arial" w:hAnsi="Arial" w:cs="Arial"/>
          <w:sz w:val="18"/>
          <w:lang w:val="en-US"/>
        </w:rPr>
        <w:t>banka</w:t>
      </w:r>
      <w:proofErr w:type="spellEnd"/>
      <w:r>
        <w:rPr>
          <w:rStyle w:val="at71"/>
          <w:rFonts w:ascii="Arial" w:hAnsi="Arial" w:cs="Arial"/>
          <w:sz w:val="18"/>
          <w:lang w:val="en-US"/>
        </w:rPr>
        <w:t xml:space="preserve"> “CMZRB” (€ 4.4 </w:t>
      </w:r>
      <w:proofErr w:type="spellStart"/>
      <w:r>
        <w:rPr>
          <w:rStyle w:val="at71"/>
          <w:rFonts w:ascii="Arial" w:hAnsi="Arial" w:cs="Arial"/>
          <w:sz w:val="18"/>
          <w:lang w:val="en-US"/>
        </w:rPr>
        <w:t>bn</w:t>
      </w:r>
      <w:proofErr w:type="spellEnd"/>
      <w:r>
        <w:rPr>
          <w:rStyle w:val="at71"/>
          <w:rFonts w:ascii="Arial" w:hAnsi="Arial" w:cs="Arial"/>
          <w:sz w:val="18"/>
          <w:lang w:val="en-US"/>
        </w:rPr>
        <w:t>)</w:t>
      </w:r>
    </w:p>
    <w:p w:rsidR="00E93C5A" w:rsidRDefault="00E93C5A" w:rsidP="00E93C5A">
      <w:pPr>
        <w:pStyle w:val="astandardp4"/>
        <w:numPr>
          <w:ilvl w:val="0"/>
          <w:numId w:val="2"/>
        </w:numPr>
        <w:spacing w:before="120" w:line="276" w:lineRule="auto"/>
        <w:rPr>
          <w:rStyle w:val="at111"/>
          <w:i w:val="0"/>
          <w:iCs w:val="0"/>
        </w:rPr>
      </w:pPr>
      <w:r>
        <w:rPr>
          <w:rStyle w:val="at10"/>
          <w:rFonts w:ascii="Arial" w:hAnsi="Arial" w:cs="Arial"/>
          <w:sz w:val="18"/>
        </w:rPr>
        <w:t>France:</w:t>
      </w:r>
      <w:r>
        <w:rPr>
          <w:rStyle w:val="at111"/>
          <w:rFonts w:ascii="Arial" w:hAnsi="Arial" w:cs="Arial"/>
          <w:sz w:val="18"/>
        </w:rPr>
        <w:t xml:space="preserve"> Caisse des Dépôts “CDC” (€ 287 </w:t>
      </w:r>
      <w:proofErr w:type="spellStart"/>
      <w:r>
        <w:rPr>
          <w:rStyle w:val="at111"/>
          <w:rFonts w:ascii="Arial" w:hAnsi="Arial" w:cs="Arial"/>
          <w:sz w:val="18"/>
        </w:rPr>
        <w:t>bn</w:t>
      </w:r>
      <w:proofErr w:type="spellEnd"/>
      <w:r>
        <w:rPr>
          <w:rStyle w:val="at111"/>
          <w:rFonts w:ascii="Arial" w:hAnsi="Arial" w:cs="Arial"/>
          <w:sz w:val="18"/>
        </w:rPr>
        <w:t>)</w:t>
      </w:r>
    </w:p>
    <w:p w:rsidR="00E93C5A" w:rsidRDefault="00E93C5A" w:rsidP="00E93C5A">
      <w:pPr>
        <w:pStyle w:val="astandardp4"/>
        <w:numPr>
          <w:ilvl w:val="0"/>
          <w:numId w:val="2"/>
        </w:numPr>
        <w:spacing w:before="120" w:line="276" w:lineRule="auto"/>
      </w:pPr>
      <w:r>
        <w:rPr>
          <w:rStyle w:val="at111"/>
          <w:rFonts w:ascii="Arial" w:hAnsi="Arial" w:cs="Arial"/>
          <w:i w:val="0"/>
          <w:sz w:val="18"/>
        </w:rPr>
        <w:t>France</w:t>
      </w:r>
      <w:r>
        <w:rPr>
          <w:rStyle w:val="at111"/>
          <w:rFonts w:ascii="Arial" w:hAnsi="Arial" w:cs="Arial"/>
          <w:sz w:val="18"/>
        </w:rPr>
        <w:t xml:space="preserve"> : BPI France (€ 19 </w:t>
      </w:r>
      <w:proofErr w:type="spellStart"/>
      <w:r>
        <w:rPr>
          <w:rStyle w:val="at111"/>
          <w:rFonts w:ascii="Arial" w:hAnsi="Arial" w:cs="Arial"/>
          <w:sz w:val="18"/>
        </w:rPr>
        <w:t>bn</w:t>
      </w:r>
      <w:proofErr w:type="spellEnd"/>
      <w:r>
        <w:rPr>
          <w:rStyle w:val="at111"/>
          <w:rFonts w:ascii="Arial" w:hAnsi="Arial" w:cs="Arial"/>
          <w:sz w:val="18"/>
        </w:rPr>
        <w:t>)</w:t>
      </w:r>
    </w:p>
    <w:p w:rsidR="00E93C5A" w:rsidRDefault="00E93C5A" w:rsidP="00E93C5A">
      <w:pPr>
        <w:pStyle w:val="astandardp4"/>
        <w:numPr>
          <w:ilvl w:val="0"/>
          <w:numId w:val="2"/>
        </w:numPr>
        <w:spacing w:before="120" w:line="276" w:lineRule="auto"/>
        <w:rPr>
          <w:rStyle w:val="at3"/>
          <w:i/>
          <w:lang w:val="en-US"/>
        </w:rPr>
      </w:pPr>
      <w:r>
        <w:rPr>
          <w:rStyle w:val="at3"/>
          <w:rFonts w:ascii="Arial" w:hAnsi="Arial" w:cs="Arial"/>
          <w:sz w:val="18"/>
          <w:lang w:val="en-US"/>
        </w:rPr>
        <w:t xml:space="preserve">Germany: </w:t>
      </w:r>
      <w:proofErr w:type="spellStart"/>
      <w:r>
        <w:rPr>
          <w:rStyle w:val="at3"/>
          <w:rFonts w:ascii="Arial" w:hAnsi="Arial" w:cs="Arial"/>
          <w:i/>
          <w:sz w:val="18"/>
          <w:lang w:val="en-US"/>
        </w:rPr>
        <w:t>KfW</w:t>
      </w:r>
      <w:proofErr w:type="spellEnd"/>
      <w:r>
        <w:rPr>
          <w:rStyle w:val="at3"/>
          <w:rFonts w:ascii="Arial" w:hAnsi="Arial" w:cs="Arial"/>
          <w:i/>
          <w:sz w:val="18"/>
          <w:lang w:val="en-US"/>
        </w:rPr>
        <w:t xml:space="preserve"> (€ 465 </w:t>
      </w:r>
      <w:proofErr w:type="spellStart"/>
      <w:r>
        <w:rPr>
          <w:rStyle w:val="at3"/>
          <w:rFonts w:ascii="Arial" w:hAnsi="Arial" w:cs="Arial"/>
          <w:i/>
          <w:sz w:val="18"/>
          <w:lang w:val="en-US"/>
        </w:rPr>
        <w:t>bn</w:t>
      </w:r>
      <w:proofErr w:type="spellEnd"/>
      <w:r>
        <w:rPr>
          <w:rStyle w:val="at3"/>
          <w:rFonts w:ascii="Arial" w:hAnsi="Arial" w:cs="Arial"/>
          <w:i/>
          <w:sz w:val="18"/>
          <w:lang w:val="en-US"/>
        </w:rPr>
        <w:t>)</w:t>
      </w:r>
    </w:p>
    <w:p w:rsidR="00E93C5A" w:rsidRPr="00E93C5A" w:rsidRDefault="00E93C5A" w:rsidP="00E93C5A">
      <w:pPr>
        <w:pStyle w:val="astandardp4"/>
        <w:numPr>
          <w:ilvl w:val="0"/>
          <w:numId w:val="2"/>
        </w:numPr>
        <w:spacing w:before="120" w:line="276" w:lineRule="auto"/>
        <w:rPr>
          <w:rStyle w:val="at71"/>
          <w:iCs w:val="0"/>
          <w:lang w:val="en-GB"/>
        </w:rPr>
      </w:pPr>
      <w:r>
        <w:rPr>
          <w:rStyle w:val="at3"/>
          <w:rFonts w:ascii="Arial" w:hAnsi="Arial" w:cs="Arial"/>
          <w:sz w:val="18"/>
          <w:lang w:val="en-US"/>
        </w:rPr>
        <w:t>Greece</w:t>
      </w:r>
      <w:r>
        <w:rPr>
          <w:rStyle w:val="at5"/>
          <w:rFonts w:ascii="Arial" w:hAnsi="Arial" w:cs="Arial"/>
          <w:sz w:val="18"/>
          <w:lang w:val="en-US"/>
        </w:rPr>
        <w:t>:</w:t>
      </w:r>
      <w:r>
        <w:rPr>
          <w:rStyle w:val="at91"/>
          <w:rFonts w:ascii="Arial" w:hAnsi="Arial" w:cs="Arial"/>
          <w:sz w:val="18"/>
          <w:lang w:val="en-US"/>
        </w:rPr>
        <w:t xml:space="preserve"> National Bank of Greece “NBG”</w:t>
      </w:r>
      <w:r>
        <w:rPr>
          <w:rStyle w:val="at71"/>
          <w:rFonts w:ascii="Arial" w:hAnsi="Arial" w:cs="Arial"/>
          <w:sz w:val="18"/>
          <w:lang w:val="en-US"/>
        </w:rPr>
        <w:t xml:space="preserve"> (€ 140 </w:t>
      </w:r>
      <w:proofErr w:type="spellStart"/>
      <w:r>
        <w:rPr>
          <w:rStyle w:val="at71"/>
          <w:rFonts w:ascii="Arial" w:hAnsi="Arial" w:cs="Arial"/>
          <w:sz w:val="18"/>
          <w:lang w:val="en-US"/>
        </w:rPr>
        <w:t>bn</w:t>
      </w:r>
      <w:proofErr w:type="spellEnd"/>
      <w:r>
        <w:rPr>
          <w:rStyle w:val="at71"/>
          <w:rFonts w:ascii="Arial" w:hAnsi="Arial" w:cs="Arial"/>
          <w:sz w:val="18"/>
          <w:lang w:val="en-US"/>
        </w:rPr>
        <w:t>)</w:t>
      </w:r>
    </w:p>
    <w:p w:rsidR="00E93C5A" w:rsidRPr="00E93C5A" w:rsidRDefault="00E93C5A" w:rsidP="00E93C5A">
      <w:pPr>
        <w:pStyle w:val="astandardp4"/>
        <w:numPr>
          <w:ilvl w:val="0"/>
          <w:numId w:val="2"/>
        </w:numPr>
        <w:spacing w:before="120" w:line="276" w:lineRule="auto"/>
        <w:rPr>
          <w:rFonts w:ascii="Arial" w:hAnsi="Arial" w:cs="Arial"/>
          <w:sz w:val="18"/>
          <w:lang w:val="en-GB"/>
        </w:rPr>
      </w:pPr>
      <w:r>
        <w:rPr>
          <w:rStyle w:val="at3"/>
          <w:rFonts w:ascii="Arial" w:hAnsi="Arial" w:cs="Arial"/>
          <w:sz w:val="18"/>
          <w:lang w:val="en-US"/>
        </w:rPr>
        <w:t>Hungary:</w:t>
      </w:r>
      <w:r>
        <w:rPr>
          <w:rStyle w:val="at71"/>
          <w:rFonts w:ascii="Arial" w:hAnsi="Arial" w:cs="Arial"/>
          <w:sz w:val="18"/>
          <w:lang w:val="en-US"/>
        </w:rPr>
        <w:t xml:space="preserve"> MFB Hungarian Development Bank “MFB” (€ 4.7 </w:t>
      </w:r>
      <w:proofErr w:type="spellStart"/>
      <w:r>
        <w:rPr>
          <w:rStyle w:val="at71"/>
          <w:rFonts w:ascii="Arial" w:hAnsi="Arial" w:cs="Arial"/>
          <w:sz w:val="18"/>
          <w:lang w:val="en-US"/>
        </w:rPr>
        <w:t>bn</w:t>
      </w:r>
      <w:proofErr w:type="spellEnd"/>
      <w:r>
        <w:rPr>
          <w:rStyle w:val="at71"/>
          <w:rFonts w:ascii="Arial" w:hAnsi="Arial" w:cs="Arial"/>
          <w:sz w:val="18"/>
          <w:lang w:val="en-US"/>
        </w:rPr>
        <w:t>)</w:t>
      </w:r>
    </w:p>
    <w:p w:rsidR="00E93C5A" w:rsidRDefault="00E93C5A" w:rsidP="00E93C5A">
      <w:pPr>
        <w:pStyle w:val="astandardp4"/>
        <w:numPr>
          <w:ilvl w:val="0"/>
          <w:numId w:val="2"/>
        </w:numPr>
        <w:spacing w:before="120" w:line="276" w:lineRule="auto"/>
        <w:rPr>
          <w:rFonts w:ascii="Arial" w:hAnsi="Arial" w:cs="Arial"/>
          <w:sz w:val="18"/>
          <w:lang w:val="it-IT"/>
        </w:rPr>
      </w:pPr>
      <w:r>
        <w:rPr>
          <w:rStyle w:val="at10"/>
          <w:rFonts w:ascii="Arial" w:hAnsi="Arial" w:cs="Arial"/>
          <w:sz w:val="18"/>
          <w:lang w:val="it-IT"/>
        </w:rPr>
        <w:t>Italy:</w:t>
      </w:r>
      <w:r>
        <w:rPr>
          <w:rStyle w:val="at111"/>
          <w:rFonts w:ascii="Arial" w:hAnsi="Arial" w:cs="Arial"/>
          <w:sz w:val="18"/>
          <w:lang w:val="it-IT"/>
        </w:rPr>
        <w:t xml:space="preserve"> Cassa Depositi e Prestiti </w:t>
      </w:r>
      <w:r>
        <w:rPr>
          <w:rStyle w:val="at121"/>
          <w:rFonts w:ascii="Arial" w:hAnsi="Arial" w:cs="Arial"/>
          <w:sz w:val="18"/>
          <w:lang w:val="it-IT"/>
        </w:rPr>
        <w:t>“</w:t>
      </w:r>
      <w:r>
        <w:rPr>
          <w:rStyle w:val="at111"/>
          <w:rFonts w:ascii="Arial" w:hAnsi="Arial" w:cs="Arial"/>
          <w:sz w:val="18"/>
          <w:lang w:val="it-IT"/>
        </w:rPr>
        <w:t>CDP</w:t>
      </w:r>
      <w:r>
        <w:rPr>
          <w:rStyle w:val="at121"/>
          <w:rFonts w:ascii="Arial" w:hAnsi="Arial" w:cs="Arial"/>
          <w:sz w:val="18"/>
          <w:lang w:val="it-IT"/>
        </w:rPr>
        <w:t>”</w:t>
      </w:r>
      <w:r>
        <w:rPr>
          <w:rStyle w:val="at111"/>
          <w:rFonts w:ascii="Arial" w:hAnsi="Arial" w:cs="Arial"/>
          <w:sz w:val="18"/>
          <w:lang w:val="it-IT"/>
        </w:rPr>
        <w:t xml:space="preserve"> (€ 305 bn)</w:t>
      </w:r>
    </w:p>
    <w:p w:rsidR="00E93C5A" w:rsidRDefault="00E93C5A" w:rsidP="00E93C5A">
      <w:pPr>
        <w:pStyle w:val="astandardp4"/>
        <w:numPr>
          <w:ilvl w:val="0"/>
          <w:numId w:val="2"/>
        </w:numPr>
        <w:spacing w:before="120" w:line="276" w:lineRule="auto"/>
        <w:rPr>
          <w:rFonts w:ascii="Arial" w:hAnsi="Arial" w:cs="Arial"/>
          <w:sz w:val="18"/>
          <w:lang w:val="en-US"/>
        </w:rPr>
      </w:pPr>
      <w:r>
        <w:rPr>
          <w:rStyle w:val="at3"/>
          <w:rFonts w:ascii="Arial" w:hAnsi="Arial" w:cs="Arial"/>
          <w:sz w:val="18"/>
          <w:lang w:val="en-US"/>
        </w:rPr>
        <w:t>Latvia:</w:t>
      </w:r>
      <w:r>
        <w:rPr>
          <w:rStyle w:val="at71"/>
          <w:rFonts w:ascii="Arial" w:hAnsi="Arial" w:cs="Arial"/>
          <w:sz w:val="18"/>
          <w:lang w:val="en-US"/>
        </w:rPr>
        <w:t xml:space="preserve"> The Latvian Development Finance Institution “ALTUM” (€ 0.97 </w:t>
      </w:r>
      <w:proofErr w:type="spellStart"/>
      <w:r>
        <w:rPr>
          <w:rStyle w:val="at71"/>
          <w:rFonts w:ascii="Arial" w:hAnsi="Arial" w:cs="Arial"/>
          <w:sz w:val="18"/>
          <w:lang w:val="en-US"/>
        </w:rPr>
        <w:t>bn</w:t>
      </w:r>
      <w:proofErr w:type="spellEnd"/>
      <w:r>
        <w:rPr>
          <w:rStyle w:val="at71"/>
          <w:rFonts w:ascii="Arial" w:hAnsi="Arial" w:cs="Arial"/>
          <w:sz w:val="18"/>
          <w:lang w:val="en-US"/>
        </w:rPr>
        <w:t>)</w:t>
      </w:r>
    </w:p>
    <w:p w:rsidR="00E93C5A" w:rsidRDefault="00E93C5A" w:rsidP="00E93C5A">
      <w:pPr>
        <w:pStyle w:val="astandardp4"/>
        <w:numPr>
          <w:ilvl w:val="0"/>
          <w:numId w:val="2"/>
        </w:numPr>
        <w:spacing w:before="120" w:line="276" w:lineRule="auto"/>
        <w:rPr>
          <w:rStyle w:val="at3"/>
          <w:lang w:val="fr-BE"/>
        </w:rPr>
      </w:pPr>
      <w:r>
        <w:rPr>
          <w:rStyle w:val="at3"/>
          <w:rFonts w:ascii="Arial" w:hAnsi="Arial" w:cs="Arial"/>
          <w:sz w:val="18"/>
          <w:lang w:val="fr-BE"/>
        </w:rPr>
        <w:t xml:space="preserve">Luxembourg: </w:t>
      </w:r>
      <w:r>
        <w:rPr>
          <w:rStyle w:val="at3"/>
          <w:rFonts w:ascii="Arial" w:hAnsi="Arial" w:cs="Arial"/>
          <w:i/>
          <w:sz w:val="18"/>
          <w:lang w:val="fr-BE"/>
        </w:rPr>
        <w:t xml:space="preserve">Société Nationale de Crédit et d’Investissement “SNCI” (€ 1.31 </w:t>
      </w:r>
      <w:proofErr w:type="spellStart"/>
      <w:r>
        <w:rPr>
          <w:rStyle w:val="at3"/>
          <w:rFonts w:ascii="Arial" w:hAnsi="Arial" w:cs="Arial"/>
          <w:i/>
          <w:sz w:val="18"/>
          <w:lang w:val="fr-BE"/>
        </w:rPr>
        <w:t>bn</w:t>
      </w:r>
      <w:proofErr w:type="spellEnd"/>
      <w:r>
        <w:rPr>
          <w:rStyle w:val="at3"/>
          <w:rFonts w:ascii="Arial" w:hAnsi="Arial" w:cs="Arial"/>
          <w:i/>
          <w:sz w:val="18"/>
          <w:lang w:val="fr-BE"/>
        </w:rPr>
        <w:t>)</w:t>
      </w:r>
      <w:r>
        <w:rPr>
          <w:rStyle w:val="at3"/>
          <w:rFonts w:ascii="Arial" w:hAnsi="Arial" w:cs="Arial"/>
          <w:sz w:val="18"/>
          <w:lang w:val="fr-BE"/>
        </w:rPr>
        <w:t xml:space="preserve"> </w:t>
      </w:r>
    </w:p>
    <w:p w:rsidR="00E93C5A" w:rsidRDefault="00E93C5A" w:rsidP="00E93C5A">
      <w:pPr>
        <w:pStyle w:val="astandardp4"/>
        <w:numPr>
          <w:ilvl w:val="0"/>
          <w:numId w:val="2"/>
        </w:numPr>
        <w:spacing w:before="120" w:line="276" w:lineRule="auto"/>
        <w:rPr>
          <w:rStyle w:val="at91"/>
          <w:i w:val="0"/>
          <w:iCs w:val="0"/>
          <w:lang w:val="en-US"/>
        </w:rPr>
      </w:pPr>
      <w:r>
        <w:rPr>
          <w:rStyle w:val="at3"/>
          <w:rFonts w:ascii="Arial" w:hAnsi="Arial" w:cs="Arial"/>
          <w:sz w:val="18"/>
          <w:lang w:val="en-US"/>
        </w:rPr>
        <w:t>Malta</w:t>
      </w:r>
      <w:r>
        <w:rPr>
          <w:rStyle w:val="at5"/>
          <w:rFonts w:ascii="Arial" w:hAnsi="Arial" w:cs="Arial"/>
          <w:sz w:val="18"/>
          <w:lang w:val="en-US"/>
        </w:rPr>
        <w:t>:</w:t>
      </w:r>
      <w:r>
        <w:rPr>
          <w:rStyle w:val="at91"/>
          <w:rFonts w:ascii="Arial" w:hAnsi="Arial" w:cs="Arial"/>
          <w:sz w:val="18"/>
          <w:lang w:val="en-US"/>
        </w:rPr>
        <w:t xml:space="preserve"> Bank of Valletta “BOV” (€ 7 </w:t>
      </w:r>
      <w:proofErr w:type="spellStart"/>
      <w:r>
        <w:rPr>
          <w:rStyle w:val="at91"/>
          <w:rFonts w:ascii="Arial" w:hAnsi="Arial" w:cs="Arial"/>
          <w:sz w:val="18"/>
          <w:lang w:val="en-US"/>
        </w:rPr>
        <w:t>bn</w:t>
      </w:r>
      <w:proofErr w:type="spellEnd"/>
      <w:r>
        <w:rPr>
          <w:rStyle w:val="at91"/>
          <w:rFonts w:ascii="Arial" w:hAnsi="Arial" w:cs="Arial"/>
          <w:sz w:val="18"/>
          <w:lang w:val="en-US"/>
        </w:rPr>
        <w:t>)</w:t>
      </w:r>
    </w:p>
    <w:p w:rsidR="00E93C5A" w:rsidRDefault="00E93C5A" w:rsidP="00E93C5A">
      <w:pPr>
        <w:pStyle w:val="astandardp4"/>
        <w:numPr>
          <w:ilvl w:val="0"/>
          <w:numId w:val="2"/>
        </w:numPr>
        <w:spacing w:before="120" w:line="276" w:lineRule="auto"/>
        <w:rPr>
          <w:lang w:val="de-DE"/>
        </w:rPr>
      </w:pPr>
      <w:r>
        <w:rPr>
          <w:rStyle w:val="at13"/>
          <w:rFonts w:ascii="Arial" w:hAnsi="Arial" w:cs="Arial"/>
          <w:sz w:val="18"/>
          <w:lang w:val="de-DE"/>
        </w:rPr>
        <w:t>Poland:</w:t>
      </w:r>
      <w:r>
        <w:rPr>
          <w:rStyle w:val="at141"/>
          <w:rFonts w:ascii="Arial" w:hAnsi="Arial" w:cs="Arial"/>
          <w:sz w:val="18"/>
          <w:lang w:val="de-DE"/>
        </w:rPr>
        <w:t xml:space="preserve"> Bank Gospodarstwa Krajowego “BGK” (€ 10.6 bn)</w:t>
      </w:r>
    </w:p>
    <w:p w:rsidR="00E93C5A" w:rsidRDefault="00E93C5A" w:rsidP="00E93C5A">
      <w:pPr>
        <w:pStyle w:val="astandardp4"/>
        <w:numPr>
          <w:ilvl w:val="0"/>
          <w:numId w:val="2"/>
        </w:numPr>
        <w:spacing w:before="120" w:line="276" w:lineRule="auto"/>
        <w:rPr>
          <w:rFonts w:ascii="Arial" w:hAnsi="Arial" w:cs="Arial"/>
          <w:sz w:val="18"/>
          <w:lang w:val="it-IT"/>
        </w:rPr>
      </w:pPr>
      <w:r>
        <w:rPr>
          <w:rStyle w:val="at15"/>
          <w:rFonts w:ascii="Arial" w:hAnsi="Arial" w:cs="Arial"/>
          <w:sz w:val="18"/>
          <w:lang w:val="it-IT"/>
        </w:rPr>
        <w:t>Portugal:</w:t>
      </w:r>
      <w:r>
        <w:rPr>
          <w:rStyle w:val="at161"/>
          <w:rFonts w:ascii="Arial" w:hAnsi="Arial" w:cs="Arial"/>
          <w:sz w:val="18"/>
          <w:lang w:val="it-IT"/>
        </w:rPr>
        <w:t xml:space="preserve"> Banco BPI (“BPI)“ (€ 43 bn)</w:t>
      </w:r>
    </w:p>
    <w:p w:rsidR="00E93C5A" w:rsidRDefault="00E93C5A" w:rsidP="00E93C5A">
      <w:pPr>
        <w:pStyle w:val="astandardp4"/>
        <w:numPr>
          <w:ilvl w:val="0"/>
          <w:numId w:val="2"/>
        </w:numPr>
        <w:spacing w:before="120" w:line="276" w:lineRule="auto"/>
        <w:rPr>
          <w:rFonts w:ascii="Arial" w:hAnsi="Arial" w:cs="Arial"/>
          <w:sz w:val="18"/>
          <w:lang w:val="it-IT"/>
        </w:rPr>
      </w:pPr>
      <w:r>
        <w:rPr>
          <w:rStyle w:val="at17"/>
          <w:rFonts w:ascii="Arial" w:hAnsi="Arial" w:cs="Arial"/>
          <w:sz w:val="18"/>
          <w:lang w:val="it-IT"/>
        </w:rPr>
        <w:t>Slovenia</w:t>
      </w:r>
      <w:r>
        <w:rPr>
          <w:rStyle w:val="at18"/>
          <w:rFonts w:ascii="Arial" w:hAnsi="Arial" w:cs="Arial"/>
          <w:sz w:val="18"/>
          <w:lang w:val="it-IT"/>
        </w:rPr>
        <w:t>:</w:t>
      </w:r>
      <w:r>
        <w:rPr>
          <w:rStyle w:val="at201"/>
          <w:rFonts w:ascii="Arial" w:hAnsi="Arial" w:cs="Arial"/>
          <w:sz w:val="18"/>
          <w:lang w:val="it-IT"/>
        </w:rPr>
        <w:t xml:space="preserve"> Slovenska izvozna in razvojna banka “SID”</w:t>
      </w:r>
      <w:r>
        <w:rPr>
          <w:rStyle w:val="at191"/>
          <w:rFonts w:ascii="Arial" w:hAnsi="Arial" w:cs="Arial"/>
          <w:sz w:val="18"/>
          <w:lang w:val="it-IT"/>
        </w:rPr>
        <w:t xml:space="preserve"> (€ 4.1 bn)</w:t>
      </w:r>
    </w:p>
    <w:p w:rsidR="00E93C5A" w:rsidRDefault="00E93C5A" w:rsidP="00E93C5A">
      <w:pPr>
        <w:pStyle w:val="astandardp4"/>
        <w:numPr>
          <w:ilvl w:val="0"/>
          <w:numId w:val="2"/>
        </w:numPr>
        <w:spacing w:before="120" w:line="276" w:lineRule="auto"/>
        <w:rPr>
          <w:rFonts w:ascii="Arial" w:hAnsi="Arial" w:cs="Arial"/>
          <w:sz w:val="18"/>
        </w:rPr>
      </w:pPr>
      <w:r>
        <w:rPr>
          <w:rStyle w:val="at10"/>
          <w:rFonts w:ascii="Arial" w:hAnsi="Arial" w:cs="Arial"/>
          <w:sz w:val="18"/>
          <w:lang w:val="fr-BE"/>
        </w:rPr>
        <w:t xml:space="preserve">Spain: </w:t>
      </w:r>
      <w:proofErr w:type="spellStart"/>
      <w:r>
        <w:rPr>
          <w:rStyle w:val="at111"/>
          <w:rFonts w:ascii="Arial" w:hAnsi="Arial" w:cs="Arial"/>
          <w:sz w:val="18"/>
          <w:lang w:val="fr-BE"/>
        </w:rPr>
        <w:t>Instituto</w:t>
      </w:r>
      <w:proofErr w:type="spellEnd"/>
      <w:r>
        <w:rPr>
          <w:rStyle w:val="at111"/>
          <w:rFonts w:ascii="Arial" w:hAnsi="Arial" w:cs="Arial"/>
          <w:sz w:val="18"/>
          <w:lang w:val="fr-BE"/>
        </w:rPr>
        <w:t xml:space="preserve"> de </w:t>
      </w:r>
      <w:proofErr w:type="spellStart"/>
      <w:r>
        <w:rPr>
          <w:rStyle w:val="at111"/>
          <w:rFonts w:ascii="Arial" w:hAnsi="Arial" w:cs="Arial"/>
          <w:sz w:val="18"/>
          <w:lang w:val="fr-BE"/>
        </w:rPr>
        <w:t>Créd</w:t>
      </w:r>
      <w:r>
        <w:rPr>
          <w:rStyle w:val="at111"/>
          <w:rFonts w:ascii="Arial" w:hAnsi="Arial" w:cs="Arial"/>
          <w:sz w:val="18"/>
        </w:rPr>
        <w:t>ito</w:t>
      </w:r>
      <w:proofErr w:type="spellEnd"/>
      <w:r>
        <w:rPr>
          <w:rStyle w:val="at111"/>
          <w:rFonts w:ascii="Arial" w:hAnsi="Arial" w:cs="Arial"/>
          <w:sz w:val="18"/>
        </w:rPr>
        <w:t xml:space="preserve"> </w:t>
      </w:r>
      <w:proofErr w:type="spellStart"/>
      <w:r>
        <w:rPr>
          <w:rStyle w:val="at111"/>
          <w:rFonts w:ascii="Arial" w:hAnsi="Arial" w:cs="Arial"/>
          <w:sz w:val="18"/>
        </w:rPr>
        <w:t>Oficial</w:t>
      </w:r>
      <w:proofErr w:type="spellEnd"/>
      <w:r>
        <w:rPr>
          <w:rStyle w:val="at111"/>
          <w:rFonts w:ascii="Arial" w:hAnsi="Arial" w:cs="Arial"/>
          <w:sz w:val="18"/>
        </w:rPr>
        <w:t xml:space="preserve"> “ICO” (€ 115 </w:t>
      </w:r>
      <w:proofErr w:type="spellStart"/>
      <w:r>
        <w:rPr>
          <w:rStyle w:val="at111"/>
          <w:rFonts w:ascii="Arial" w:hAnsi="Arial" w:cs="Arial"/>
          <w:sz w:val="18"/>
        </w:rPr>
        <w:t>bn</w:t>
      </w:r>
      <w:proofErr w:type="spellEnd"/>
      <w:r>
        <w:rPr>
          <w:rStyle w:val="at111"/>
          <w:rFonts w:ascii="Arial" w:hAnsi="Arial" w:cs="Arial"/>
          <w:sz w:val="18"/>
        </w:rPr>
        <w:t>)</w:t>
      </w:r>
    </w:p>
    <w:p w:rsidR="00E93C5A" w:rsidRDefault="00E93C5A" w:rsidP="00E93C5A">
      <w:pPr>
        <w:rPr>
          <w:sz w:val="18"/>
          <w:szCs w:val="18"/>
          <w:u w:val="single"/>
        </w:rPr>
      </w:pPr>
    </w:p>
    <w:p w:rsidR="00E93C5A" w:rsidRDefault="00E93C5A" w:rsidP="00E93C5A">
      <w:pPr>
        <w:rPr>
          <w:sz w:val="18"/>
          <w:szCs w:val="18"/>
          <w:u w:val="single"/>
          <w:lang w:val="en-US"/>
        </w:rPr>
      </w:pPr>
      <w:r>
        <w:rPr>
          <w:sz w:val="18"/>
          <w:szCs w:val="18"/>
          <w:u w:val="single"/>
          <w:lang w:val="en-US"/>
        </w:rPr>
        <w:t>Associate Members</w:t>
      </w:r>
    </w:p>
    <w:p w:rsidR="00E93C5A" w:rsidRPr="00AF5AF7" w:rsidRDefault="00AF5AF7" w:rsidP="001033FF">
      <w:pPr>
        <w:pStyle w:val="astandardp4"/>
        <w:numPr>
          <w:ilvl w:val="0"/>
          <w:numId w:val="3"/>
        </w:numPr>
        <w:spacing w:before="120" w:line="276" w:lineRule="auto"/>
        <w:rPr>
          <w:rStyle w:val="at3"/>
          <w:lang w:val="en-GB"/>
        </w:rPr>
      </w:pPr>
      <w:r>
        <w:rPr>
          <w:rStyle w:val="at3"/>
          <w:rFonts w:ascii="Arial" w:hAnsi="Arial" w:cs="Arial"/>
          <w:i/>
          <w:sz w:val="18"/>
          <w:lang w:val="en-US"/>
        </w:rPr>
        <w:t xml:space="preserve">Nordic Investment Bank </w:t>
      </w:r>
      <w:r>
        <w:rPr>
          <w:rStyle w:val="at201"/>
          <w:rFonts w:ascii="Arial" w:hAnsi="Arial" w:cs="Arial"/>
          <w:sz w:val="18"/>
          <w:lang w:val="it-IT"/>
        </w:rPr>
        <w:t>“NIB”</w:t>
      </w:r>
      <w:r>
        <w:rPr>
          <w:rStyle w:val="at191"/>
          <w:rFonts w:ascii="Arial" w:hAnsi="Arial" w:cs="Arial"/>
          <w:sz w:val="18"/>
          <w:lang w:val="it-IT"/>
        </w:rPr>
        <w:t xml:space="preserve"> </w:t>
      </w:r>
      <w:r w:rsidR="001033FF">
        <w:rPr>
          <w:rStyle w:val="at3"/>
          <w:rFonts w:ascii="Arial" w:hAnsi="Arial" w:cs="Arial"/>
          <w:i/>
          <w:sz w:val="18"/>
          <w:lang w:val="en-US"/>
        </w:rPr>
        <w:t xml:space="preserve">(€ </w:t>
      </w:r>
      <w:r w:rsidR="001033FF" w:rsidRPr="001033FF">
        <w:rPr>
          <w:rStyle w:val="at3"/>
          <w:rFonts w:ascii="Arial" w:hAnsi="Arial" w:cs="Arial"/>
          <w:i/>
          <w:sz w:val="18"/>
          <w:lang w:val="en-US"/>
        </w:rPr>
        <w:t>0.024</w:t>
      </w:r>
      <w:r w:rsidR="001033FF">
        <w:rPr>
          <w:rStyle w:val="at3"/>
          <w:rFonts w:ascii="Arial" w:hAnsi="Arial" w:cs="Arial"/>
          <w:i/>
          <w:sz w:val="18"/>
          <w:lang w:val="en-US"/>
        </w:rPr>
        <w:t xml:space="preserve"> </w:t>
      </w:r>
      <w:proofErr w:type="spellStart"/>
      <w:r w:rsidR="001033FF">
        <w:rPr>
          <w:rStyle w:val="at3"/>
          <w:rFonts w:ascii="Arial" w:hAnsi="Arial" w:cs="Arial"/>
          <w:i/>
          <w:sz w:val="18"/>
          <w:lang w:val="en-US"/>
        </w:rPr>
        <w:t>bn</w:t>
      </w:r>
      <w:proofErr w:type="spellEnd"/>
      <w:r w:rsidR="001033FF">
        <w:rPr>
          <w:rStyle w:val="at3"/>
          <w:rFonts w:ascii="Arial" w:hAnsi="Arial" w:cs="Arial"/>
          <w:i/>
          <w:sz w:val="18"/>
          <w:lang w:val="en-US"/>
        </w:rPr>
        <w:t>)</w:t>
      </w:r>
      <w:bookmarkStart w:id="0" w:name="_GoBack"/>
      <w:bookmarkEnd w:id="0"/>
    </w:p>
    <w:p w:rsidR="00AF5AF7" w:rsidRDefault="00AF5AF7" w:rsidP="00AF5AF7">
      <w:pPr>
        <w:pStyle w:val="astandardp4"/>
        <w:numPr>
          <w:ilvl w:val="0"/>
          <w:numId w:val="3"/>
        </w:numPr>
        <w:spacing w:before="120" w:line="276" w:lineRule="auto"/>
        <w:rPr>
          <w:rStyle w:val="at3"/>
        </w:rPr>
      </w:pPr>
      <w:r>
        <w:rPr>
          <w:rStyle w:val="at3"/>
          <w:rFonts w:ascii="Arial" w:hAnsi="Arial" w:cs="Arial"/>
          <w:sz w:val="18"/>
          <w:lang w:val="en-US"/>
        </w:rPr>
        <w:t xml:space="preserve">Germany: </w:t>
      </w:r>
      <w:proofErr w:type="spellStart"/>
      <w:r>
        <w:rPr>
          <w:rStyle w:val="at3"/>
          <w:rFonts w:ascii="Arial" w:hAnsi="Arial" w:cs="Arial"/>
          <w:i/>
          <w:sz w:val="18"/>
          <w:lang w:val="en-US"/>
        </w:rPr>
        <w:t>NRWBank</w:t>
      </w:r>
      <w:proofErr w:type="spellEnd"/>
      <w:r>
        <w:rPr>
          <w:rStyle w:val="at3"/>
          <w:rFonts w:ascii="Arial" w:hAnsi="Arial" w:cs="Arial"/>
          <w:i/>
          <w:sz w:val="18"/>
          <w:lang w:val="en-US"/>
        </w:rPr>
        <w:t xml:space="preserve"> (€ 150 </w:t>
      </w:r>
      <w:proofErr w:type="spellStart"/>
      <w:r>
        <w:rPr>
          <w:rStyle w:val="at3"/>
          <w:rFonts w:ascii="Arial" w:hAnsi="Arial" w:cs="Arial"/>
          <w:i/>
          <w:sz w:val="18"/>
          <w:lang w:val="en-US"/>
        </w:rPr>
        <w:t>bn</w:t>
      </w:r>
      <w:proofErr w:type="spellEnd"/>
      <w:r>
        <w:rPr>
          <w:rStyle w:val="at3"/>
          <w:rFonts w:ascii="Arial" w:hAnsi="Arial" w:cs="Arial"/>
          <w:i/>
          <w:sz w:val="18"/>
          <w:lang w:val="en-US"/>
        </w:rPr>
        <w:t>)</w:t>
      </w:r>
    </w:p>
    <w:p w:rsidR="00E93C5A" w:rsidRPr="00E93C5A" w:rsidRDefault="00E93C5A" w:rsidP="00E93C5A">
      <w:pPr>
        <w:pStyle w:val="astandardp4"/>
        <w:numPr>
          <w:ilvl w:val="0"/>
          <w:numId w:val="3"/>
        </w:numPr>
        <w:spacing w:before="120" w:line="276" w:lineRule="auto"/>
        <w:rPr>
          <w:rStyle w:val="at71"/>
          <w:i w:val="0"/>
          <w:iCs w:val="0"/>
          <w:lang w:val="en-GB"/>
        </w:rPr>
      </w:pPr>
      <w:r>
        <w:rPr>
          <w:rStyle w:val="at71"/>
          <w:rFonts w:ascii="Arial" w:hAnsi="Arial" w:cs="Arial"/>
          <w:i w:val="0"/>
          <w:sz w:val="18"/>
          <w:lang w:val="en-US"/>
        </w:rPr>
        <w:t>Greece:</w:t>
      </w:r>
      <w:r>
        <w:rPr>
          <w:rStyle w:val="at71"/>
          <w:rFonts w:ascii="Arial" w:hAnsi="Arial" w:cs="Arial"/>
          <w:sz w:val="18"/>
          <w:lang w:val="en-US"/>
        </w:rPr>
        <w:t xml:space="preserve"> Consignment Deposits and Loans Fund “CDLF” (€ 8 </w:t>
      </w:r>
      <w:proofErr w:type="spellStart"/>
      <w:r>
        <w:rPr>
          <w:rStyle w:val="at71"/>
          <w:rFonts w:ascii="Arial" w:hAnsi="Arial" w:cs="Arial"/>
          <w:sz w:val="18"/>
          <w:lang w:val="en-US"/>
        </w:rPr>
        <w:t>bn</w:t>
      </w:r>
      <w:proofErr w:type="spellEnd"/>
      <w:r>
        <w:rPr>
          <w:rStyle w:val="at71"/>
          <w:rFonts w:ascii="Arial" w:hAnsi="Arial" w:cs="Arial"/>
          <w:sz w:val="18"/>
          <w:lang w:val="en-US"/>
        </w:rPr>
        <w:t xml:space="preserve">) </w:t>
      </w:r>
    </w:p>
    <w:p w:rsidR="00E93C5A" w:rsidRDefault="00E93C5A" w:rsidP="00E93C5A">
      <w:pPr>
        <w:pStyle w:val="astandardp4"/>
        <w:numPr>
          <w:ilvl w:val="0"/>
          <w:numId w:val="3"/>
        </w:numPr>
        <w:spacing w:before="120" w:line="276" w:lineRule="auto"/>
        <w:rPr>
          <w:rFonts w:ascii="Arial" w:hAnsi="Arial" w:cs="Arial"/>
          <w:sz w:val="18"/>
        </w:rPr>
      </w:pPr>
      <w:r>
        <w:rPr>
          <w:rStyle w:val="at91"/>
          <w:rFonts w:ascii="Arial" w:hAnsi="Arial" w:cs="Arial"/>
          <w:i w:val="0"/>
          <w:sz w:val="18"/>
          <w:lang w:val="en-US"/>
        </w:rPr>
        <w:t>Netherlands:</w:t>
      </w:r>
      <w:r>
        <w:rPr>
          <w:rStyle w:val="at91"/>
          <w:rFonts w:ascii="Arial" w:hAnsi="Arial" w:cs="Arial"/>
          <w:sz w:val="18"/>
          <w:lang w:val="en-US"/>
        </w:rPr>
        <w:t xml:space="preserve"> </w:t>
      </w:r>
      <w:proofErr w:type="spellStart"/>
      <w:r>
        <w:rPr>
          <w:rStyle w:val="at91"/>
          <w:rFonts w:ascii="Arial" w:hAnsi="Arial" w:cs="Arial"/>
          <w:sz w:val="18"/>
          <w:lang w:val="en-US"/>
        </w:rPr>
        <w:t>Algemene</w:t>
      </w:r>
      <w:proofErr w:type="spellEnd"/>
      <w:r>
        <w:rPr>
          <w:rStyle w:val="at91"/>
          <w:rFonts w:ascii="Arial" w:hAnsi="Arial" w:cs="Arial"/>
          <w:sz w:val="18"/>
          <w:lang w:val="en-US"/>
        </w:rPr>
        <w:t xml:space="preserve"> </w:t>
      </w:r>
      <w:proofErr w:type="spellStart"/>
      <w:r>
        <w:rPr>
          <w:rStyle w:val="at91"/>
          <w:rFonts w:ascii="Arial" w:hAnsi="Arial" w:cs="Arial"/>
          <w:sz w:val="18"/>
          <w:lang w:val="en-US"/>
        </w:rPr>
        <w:t>Pensioen</w:t>
      </w:r>
      <w:proofErr w:type="spellEnd"/>
      <w:r>
        <w:rPr>
          <w:rStyle w:val="at91"/>
          <w:rFonts w:ascii="Arial" w:hAnsi="Arial" w:cs="Arial"/>
          <w:sz w:val="18"/>
          <w:lang w:val="en-US"/>
        </w:rPr>
        <w:t xml:space="preserve"> Group “APG” (€ 240 </w:t>
      </w:r>
      <w:proofErr w:type="spellStart"/>
      <w:r>
        <w:rPr>
          <w:rStyle w:val="at91"/>
          <w:rFonts w:ascii="Arial" w:hAnsi="Arial" w:cs="Arial"/>
          <w:sz w:val="18"/>
          <w:lang w:val="en-US"/>
        </w:rPr>
        <w:t>bn</w:t>
      </w:r>
      <w:proofErr w:type="spellEnd"/>
      <w:r>
        <w:rPr>
          <w:rStyle w:val="at91"/>
          <w:rFonts w:ascii="Arial" w:hAnsi="Arial" w:cs="Arial"/>
          <w:sz w:val="18"/>
          <w:lang w:val="en-US"/>
        </w:rPr>
        <w:t>)</w:t>
      </w:r>
    </w:p>
    <w:p w:rsidR="00E93C5A" w:rsidRPr="00E93C5A" w:rsidRDefault="00E93C5A" w:rsidP="00E93C5A">
      <w:pPr>
        <w:pStyle w:val="astandardp4"/>
        <w:numPr>
          <w:ilvl w:val="0"/>
          <w:numId w:val="3"/>
        </w:numPr>
        <w:spacing w:before="120" w:line="276" w:lineRule="auto"/>
        <w:rPr>
          <w:rFonts w:ascii="Arial" w:hAnsi="Arial" w:cs="Arial"/>
          <w:sz w:val="18"/>
        </w:rPr>
      </w:pPr>
      <w:proofErr w:type="spellStart"/>
      <w:r w:rsidRPr="00E93C5A">
        <w:rPr>
          <w:rStyle w:val="at3"/>
          <w:rFonts w:ascii="Arial" w:hAnsi="Arial" w:cs="Arial"/>
          <w:sz w:val="18"/>
        </w:rPr>
        <w:t>Turkey</w:t>
      </w:r>
      <w:proofErr w:type="spellEnd"/>
      <w:r w:rsidRPr="00E93C5A">
        <w:rPr>
          <w:rStyle w:val="at3"/>
          <w:rFonts w:ascii="Arial" w:hAnsi="Arial" w:cs="Arial"/>
          <w:sz w:val="18"/>
        </w:rPr>
        <w:t>:</w:t>
      </w:r>
      <w:r w:rsidRPr="00E93C5A">
        <w:rPr>
          <w:rStyle w:val="at71"/>
          <w:rFonts w:ascii="Arial" w:hAnsi="Arial" w:cs="Arial"/>
          <w:sz w:val="18"/>
        </w:rPr>
        <w:t xml:space="preserve"> </w:t>
      </w:r>
      <w:proofErr w:type="spellStart"/>
      <w:r w:rsidRPr="00E93C5A">
        <w:rPr>
          <w:rStyle w:val="at71"/>
          <w:rFonts w:ascii="Arial" w:hAnsi="Arial" w:cs="Arial"/>
          <w:sz w:val="18"/>
        </w:rPr>
        <w:t>Turkije</w:t>
      </w:r>
      <w:proofErr w:type="spellEnd"/>
      <w:r w:rsidRPr="00E93C5A">
        <w:rPr>
          <w:rStyle w:val="at71"/>
          <w:rFonts w:ascii="Arial" w:hAnsi="Arial" w:cs="Arial"/>
          <w:sz w:val="18"/>
        </w:rPr>
        <w:t xml:space="preserve"> </w:t>
      </w:r>
      <w:proofErr w:type="spellStart"/>
      <w:r w:rsidRPr="00E93C5A">
        <w:rPr>
          <w:rStyle w:val="at71"/>
          <w:rFonts w:ascii="Arial" w:hAnsi="Arial" w:cs="Arial"/>
          <w:sz w:val="18"/>
        </w:rPr>
        <w:t>Sinai</w:t>
      </w:r>
      <w:proofErr w:type="spellEnd"/>
      <w:r w:rsidRPr="00E93C5A">
        <w:rPr>
          <w:rStyle w:val="at71"/>
          <w:rFonts w:ascii="Arial" w:hAnsi="Arial" w:cs="Arial"/>
          <w:sz w:val="18"/>
        </w:rPr>
        <w:t xml:space="preserve"> </w:t>
      </w:r>
      <w:proofErr w:type="spellStart"/>
      <w:r w:rsidRPr="00E93C5A">
        <w:rPr>
          <w:rStyle w:val="at71"/>
          <w:rFonts w:ascii="Arial" w:hAnsi="Arial" w:cs="Arial"/>
          <w:sz w:val="18"/>
        </w:rPr>
        <w:t>Kalkinma</w:t>
      </w:r>
      <w:proofErr w:type="spellEnd"/>
      <w:r w:rsidRPr="00E93C5A">
        <w:rPr>
          <w:rStyle w:val="at71"/>
          <w:rFonts w:ascii="Arial" w:hAnsi="Arial" w:cs="Arial"/>
          <w:sz w:val="18"/>
        </w:rPr>
        <w:t xml:space="preserve"> </w:t>
      </w:r>
      <w:proofErr w:type="spellStart"/>
      <w:r w:rsidRPr="00E93C5A">
        <w:rPr>
          <w:rStyle w:val="at71"/>
          <w:rFonts w:ascii="Arial" w:hAnsi="Arial" w:cs="Arial"/>
          <w:sz w:val="18"/>
        </w:rPr>
        <w:t>Bankasi</w:t>
      </w:r>
      <w:proofErr w:type="spellEnd"/>
      <w:r w:rsidRPr="00E93C5A">
        <w:rPr>
          <w:rStyle w:val="at71"/>
          <w:rFonts w:ascii="Arial" w:hAnsi="Arial" w:cs="Arial"/>
          <w:sz w:val="18"/>
        </w:rPr>
        <w:t xml:space="preserve"> A.S. “TSKB” (€ 4.3 </w:t>
      </w:r>
      <w:proofErr w:type="spellStart"/>
      <w:r w:rsidRPr="00E93C5A">
        <w:rPr>
          <w:rStyle w:val="at71"/>
          <w:rFonts w:ascii="Arial" w:hAnsi="Arial" w:cs="Arial"/>
          <w:sz w:val="18"/>
        </w:rPr>
        <w:t>bn</w:t>
      </w:r>
      <w:proofErr w:type="spellEnd"/>
      <w:r w:rsidRPr="00E93C5A">
        <w:rPr>
          <w:rStyle w:val="at71"/>
          <w:rFonts w:ascii="Arial" w:hAnsi="Arial" w:cs="Arial"/>
          <w:sz w:val="18"/>
        </w:rPr>
        <w:t>)</w:t>
      </w:r>
    </w:p>
    <w:p w:rsidR="00E93C5A" w:rsidRPr="00E93C5A" w:rsidRDefault="00E93C5A" w:rsidP="00E93C5A">
      <w:pPr>
        <w:pStyle w:val="astandardp4"/>
        <w:numPr>
          <w:ilvl w:val="0"/>
          <w:numId w:val="3"/>
        </w:numPr>
        <w:spacing w:before="120" w:line="276" w:lineRule="auto"/>
        <w:rPr>
          <w:rStyle w:val="at71"/>
          <w:i w:val="0"/>
          <w:iCs w:val="0"/>
          <w:lang w:val="en-GB"/>
        </w:rPr>
      </w:pPr>
      <w:r>
        <w:rPr>
          <w:rStyle w:val="at71"/>
          <w:rFonts w:ascii="Arial" w:hAnsi="Arial" w:cs="Arial"/>
          <w:sz w:val="18"/>
          <w:lang w:val="en-US"/>
        </w:rPr>
        <w:t xml:space="preserve">European Investment Bank “EIB” (€ 508 </w:t>
      </w:r>
      <w:proofErr w:type="spellStart"/>
      <w:r>
        <w:rPr>
          <w:rStyle w:val="at71"/>
          <w:rFonts w:ascii="Arial" w:hAnsi="Arial" w:cs="Arial"/>
          <w:sz w:val="18"/>
          <w:lang w:val="en-US"/>
        </w:rPr>
        <w:t>bn</w:t>
      </w:r>
      <w:proofErr w:type="spellEnd"/>
      <w:r>
        <w:rPr>
          <w:rStyle w:val="at71"/>
          <w:rFonts w:ascii="Arial" w:hAnsi="Arial" w:cs="Arial"/>
          <w:sz w:val="18"/>
          <w:lang w:val="en-US"/>
        </w:rPr>
        <w:t>)</w:t>
      </w:r>
    </w:p>
    <w:p w:rsidR="00E93C5A" w:rsidRPr="00E93C5A" w:rsidRDefault="00E93C5A" w:rsidP="00E93C5A">
      <w:pPr>
        <w:pStyle w:val="astandardp4"/>
        <w:numPr>
          <w:ilvl w:val="0"/>
          <w:numId w:val="3"/>
        </w:numPr>
        <w:spacing w:before="120" w:line="276" w:lineRule="auto"/>
        <w:rPr>
          <w:i/>
          <w:lang w:val="en-GB"/>
        </w:rPr>
      </w:pPr>
      <w:r>
        <w:rPr>
          <w:rFonts w:ascii="Arial" w:hAnsi="Arial" w:cs="Arial"/>
          <w:i/>
          <w:sz w:val="18"/>
          <w:lang w:val="en-US"/>
        </w:rPr>
        <w:t xml:space="preserve">Council of Europe Development Bank “CEB” (€ 26 </w:t>
      </w:r>
      <w:proofErr w:type="spellStart"/>
      <w:r>
        <w:rPr>
          <w:rFonts w:ascii="Arial" w:hAnsi="Arial" w:cs="Arial"/>
          <w:i/>
          <w:sz w:val="18"/>
          <w:lang w:val="en-US"/>
        </w:rPr>
        <w:t>bn</w:t>
      </w:r>
      <w:proofErr w:type="spellEnd"/>
      <w:r>
        <w:rPr>
          <w:rFonts w:ascii="Arial" w:hAnsi="Arial" w:cs="Arial"/>
          <w:i/>
          <w:sz w:val="18"/>
          <w:lang w:val="en-US"/>
        </w:rPr>
        <w:t>)</w:t>
      </w:r>
    </w:p>
    <w:p w:rsidR="00E93C5A" w:rsidRDefault="00E93C5A" w:rsidP="00E93C5A">
      <w:pPr>
        <w:pStyle w:val="astandardp14"/>
        <w:spacing w:line="276" w:lineRule="auto"/>
        <w:rPr>
          <w:lang w:val="en-US"/>
        </w:rPr>
      </w:pPr>
    </w:p>
    <w:p w:rsidR="00E93C5A" w:rsidRPr="00E93C5A" w:rsidRDefault="00E93C5A" w:rsidP="009145B9">
      <w:pPr>
        <w:jc w:val="both"/>
        <w:rPr>
          <w:rFonts w:ascii="Arial" w:hAnsi="Arial" w:cs="Arial"/>
          <w:lang w:val="en-US"/>
        </w:rPr>
      </w:pPr>
    </w:p>
    <w:sectPr w:rsidR="00E93C5A" w:rsidRPr="00E93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635CC"/>
    <w:multiLevelType w:val="hybridMultilevel"/>
    <w:tmpl w:val="403A461E"/>
    <w:lvl w:ilvl="0" w:tplc="0ADCF58A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437174"/>
    <w:multiLevelType w:val="hybridMultilevel"/>
    <w:tmpl w:val="60925C2C"/>
    <w:lvl w:ilvl="0" w:tplc="0ADCF58A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5544D1F"/>
    <w:multiLevelType w:val="hybridMultilevel"/>
    <w:tmpl w:val="24C6014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658"/>
    <w:rsid w:val="00004A65"/>
    <w:rsid w:val="000366DC"/>
    <w:rsid w:val="000434FD"/>
    <w:rsid w:val="00052BC1"/>
    <w:rsid w:val="001033EB"/>
    <w:rsid w:val="001033FF"/>
    <w:rsid w:val="001F3095"/>
    <w:rsid w:val="00202867"/>
    <w:rsid w:val="0020342D"/>
    <w:rsid w:val="002167A6"/>
    <w:rsid w:val="0030351A"/>
    <w:rsid w:val="00382A10"/>
    <w:rsid w:val="003C410D"/>
    <w:rsid w:val="0049333C"/>
    <w:rsid w:val="004B32CF"/>
    <w:rsid w:val="00516694"/>
    <w:rsid w:val="00544C66"/>
    <w:rsid w:val="005820C8"/>
    <w:rsid w:val="005E37E6"/>
    <w:rsid w:val="006351DA"/>
    <w:rsid w:val="00671F0E"/>
    <w:rsid w:val="006A4335"/>
    <w:rsid w:val="006E02D8"/>
    <w:rsid w:val="00703658"/>
    <w:rsid w:val="007321A5"/>
    <w:rsid w:val="007B790B"/>
    <w:rsid w:val="00831E87"/>
    <w:rsid w:val="008924CD"/>
    <w:rsid w:val="009145B9"/>
    <w:rsid w:val="00925C94"/>
    <w:rsid w:val="009F0A6D"/>
    <w:rsid w:val="009F2FBF"/>
    <w:rsid w:val="00A327A4"/>
    <w:rsid w:val="00A64DB8"/>
    <w:rsid w:val="00AA6602"/>
    <w:rsid w:val="00AA6708"/>
    <w:rsid w:val="00AF2AC3"/>
    <w:rsid w:val="00AF5AF7"/>
    <w:rsid w:val="00B4576C"/>
    <w:rsid w:val="00B73BC7"/>
    <w:rsid w:val="00B81539"/>
    <w:rsid w:val="00BE2607"/>
    <w:rsid w:val="00C962B0"/>
    <w:rsid w:val="00E077EB"/>
    <w:rsid w:val="00E43CE5"/>
    <w:rsid w:val="00E93C5A"/>
    <w:rsid w:val="00EA0461"/>
    <w:rsid w:val="00ED768E"/>
    <w:rsid w:val="00F74458"/>
    <w:rsid w:val="00FD59CE"/>
    <w:rsid w:val="00FE4CC3"/>
    <w:rsid w:val="00FF49FE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F2AA0C-AE53-49C6-8101-464A0A5A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A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93C5A"/>
    <w:rPr>
      <w:color w:val="0563C1" w:themeColor="hyperlink"/>
      <w:u w:val="single"/>
    </w:rPr>
  </w:style>
  <w:style w:type="paragraph" w:customStyle="1" w:styleId="astandardp4">
    <w:name w:val="a_standard_p4"/>
    <w:basedOn w:val="Normal"/>
    <w:rsid w:val="00E93C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standardp14">
    <w:name w:val="a_standard_p14"/>
    <w:basedOn w:val="Normal"/>
    <w:rsid w:val="00E93C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at3">
    <w:name w:val="a__t3"/>
    <w:rsid w:val="00E93C5A"/>
  </w:style>
  <w:style w:type="character" w:customStyle="1" w:styleId="at71">
    <w:name w:val="a__t71"/>
    <w:rsid w:val="00E93C5A"/>
    <w:rPr>
      <w:i/>
      <w:iCs/>
    </w:rPr>
  </w:style>
  <w:style w:type="character" w:customStyle="1" w:styleId="at10">
    <w:name w:val="a__t10"/>
    <w:rsid w:val="00E93C5A"/>
  </w:style>
  <w:style w:type="character" w:customStyle="1" w:styleId="at111">
    <w:name w:val="a__t111"/>
    <w:rsid w:val="00E93C5A"/>
    <w:rPr>
      <w:i/>
      <w:iCs/>
    </w:rPr>
  </w:style>
  <w:style w:type="character" w:customStyle="1" w:styleId="at5">
    <w:name w:val="a__t5"/>
    <w:rsid w:val="00E93C5A"/>
  </w:style>
  <w:style w:type="character" w:customStyle="1" w:styleId="at91">
    <w:name w:val="a__t91"/>
    <w:rsid w:val="00E93C5A"/>
    <w:rPr>
      <w:i/>
      <w:iCs/>
    </w:rPr>
  </w:style>
  <w:style w:type="character" w:customStyle="1" w:styleId="at121">
    <w:name w:val="a__t121"/>
    <w:rsid w:val="00E93C5A"/>
    <w:rPr>
      <w:i/>
      <w:iCs/>
    </w:rPr>
  </w:style>
  <w:style w:type="character" w:customStyle="1" w:styleId="at13">
    <w:name w:val="a__t13"/>
    <w:rsid w:val="00E93C5A"/>
  </w:style>
  <w:style w:type="character" w:customStyle="1" w:styleId="at141">
    <w:name w:val="a__t141"/>
    <w:rsid w:val="00E93C5A"/>
    <w:rPr>
      <w:i/>
      <w:iCs/>
    </w:rPr>
  </w:style>
  <w:style w:type="character" w:customStyle="1" w:styleId="at15">
    <w:name w:val="a__t15"/>
    <w:rsid w:val="00E93C5A"/>
  </w:style>
  <w:style w:type="character" w:customStyle="1" w:styleId="at161">
    <w:name w:val="a__t161"/>
    <w:rsid w:val="00E93C5A"/>
    <w:rPr>
      <w:i/>
      <w:iCs/>
    </w:rPr>
  </w:style>
  <w:style w:type="character" w:customStyle="1" w:styleId="at17">
    <w:name w:val="a__t17"/>
    <w:rsid w:val="00E93C5A"/>
  </w:style>
  <w:style w:type="character" w:customStyle="1" w:styleId="at18">
    <w:name w:val="a__t18"/>
    <w:rsid w:val="00E93C5A"/>
  </w:style>
  <w:style w:type="character" w:customStyle="1" w:styleId="at201">
    <w:name w:val="a__t201"/>
    <w:rsid w:val="00E93C5A"/>
    <w:rPr>
      <w:i/>
      <w:iCs/>
    </w:rPr>
  </w:style>
  <w:style w:type="character" w:customStyle="1" w:styleId="at191">
    <w:name w:val="a__t191"/>
    <w:rsid w:val="00E93C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3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tia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crayencour@eltia.e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542</Words>
  <Characters>2985</Characters>
  <Application>Microsoft Office Word</Application>
  <DocSecurity>0</DocSecurity>
  <Lines>24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Elti_Secretariat</cp:lastModifiedBy>
  <cp:revision>10</cp:revision>
  <dcterms:created xsi:type="dcterms:W3CDTF">2014-12-16T08:58:00Z</dcterms:created>
  <dcterms:modified xsi:type="dcterms:W3CDTF">2014-12-16T10:26:00Z</dcterms:modified>
</cp:coreProperties>
</file>