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C1353" w14:textId="1375CD53" w:rsidR="00E411F1" w:rsidRPr="00A519CA" w:rsidRDefault="00A90E0B" w:rsidP="00011AD9">
      <w:pPr>
        <w:spacing w:before="0"/>
        <w:jc w:val="right"/>
        <w:rPr>
          <w:b/>
        </w:rPr>
      </w:pPr>
      <w:r>
        <w:rPr>
          <w:b/>
        </w:rPr>
        <w:t>2</w:t>
      </w:r>
      <w:r w:rsidR="00816B82">
        <w:rPr>
          <w:b/>
        </w:rPr>
        <w:t>2</w:t>
      </w:r>
      <w:r w:rsidR="00874402">
        <w:rPr>
          <w:b/>
        </w:rPr>
        <w:t>.</w:t>
      </w:r>
      <w:r w:rsidR="006735E8">
        <w:rPr>
          <w:b/>
        </w:rPr>
        <w:t>7</w:t>
      </w:r>
      <w:r w:rsidR="00E411F1" w:rsidRPr="00A519CA">
        <w:rPr>
          <w:b/>
        </w:rPr>
        <w:t>.2019</w:t>
      </w:r>
    </w:p>
    <w:p w14:paraId="77C7CA00" w14:textId="77777777" w:rsidR="00F933E3" w:rsidRDefault="00F933E3" w:rsidP="00F933E3"/>
    <w:p w14:paraId="118F8E6B" w14:textId="18BEEB65" w:rsidR="00874402" w:rsidRDefault="006A61D8" w:rsidP="00011AD9">
      <w:pPr>
        <w:spacing w:before="0"/>
        <w:jc w:val="center"/>
        <w:rPr>
          <w:b/>
        </w:rPr>
      </w:pPr>
      <w:r>
        <w:rPr>
          <w:b/>
        </w:rPr>
        <w:t>N</w:t>
      </w:r>
      <w:r w:rsidR="00874402">
        <w:rPr>
          <w:b/>
        </w:rPr>
        <w:t>ote on:</w:t>
      </w:r>
      <w:r w:rsidR="00F924F7">
        <w:rPr>
          <w:rStyle w:val="FootnoteReference"/>
          <w:b/>
        </w:rPr>
        <w:footnoteReference w:id="2"/>
      </w:r>
    </w:p>
    <w:p w14:paraId="5AFE8A9E" w14:textId="3DE83D97" w:rsidR="00FC16E8" w:rsidRPr="00A519CA" w:rsidRDefault="00E411F1" w:rsidP="00011AD9">
      <w:pPr>
        <w:spacing w:before="0"/>
        <w:jc w:val="center"/>
        <w:rPr>
          <w:b/>
        </w:rPr>
      </w:pPr>
      <w:r w:rsidRPr="00A519CA">
        <w:rPr>
          <w:b/>
        </w:rPr>
        <w:t xml:space="preserve">1. </w:t>
      </w:r>
      <w:r w:rsidR="00FE50A6" w:rsidRPr="00A519CA">
        <w:rPr>
          <w:b/>
        </w:rPr>
        <w:t>Financial products</w:t>
      </w:r>
      <w:r w:rsidR="00FC16E8" w:rsidRPr="00A519CA">
        <w:rPr>
          <w:b/>
        </w:rPr>
        <w:t xml:space="preserve"> and their </w:t>
      </w:r>
      <w:r w:rsidR="007E5220" w:rsidRPr="00A519CA">
        <w:rPr>
          <w:b/>
        </w:rPr>
        <w:t xml:space="preserve">design and </w:t>
      </w:r>
      <w:r w:rsidR="00FC16E8" w:rsidRPr="00A519CA">
        <w:rPr>
          <w:b/>
        </w:rPr>
        <w:t>approval process</w:t>
      </w:r>
    </w:p>
    <w:p w14:paraId="5022E8A3" w14:textId="35D31B6C" w:rsidR="0064495C" w:rsidRPr="00DC6E27" w:rsidRDefault="00E411F1" w:rsidP="00DC6E27">
      <w:pPr>
        <w:spacing w:before="0"/>
        <w:jc w:val="center"/>
        <w:rPr>
          <w:b/>
        </w:rPr>
      </w:pPr>
      <w:r w:rsidRPr="00A519CA">
        <w:rPr>
          <w:b/>
        </w:rPr>
        <w:t>2. Financing and/or investment operations:</w:t>
      </w:r>
      <w:r w:rsidR="00FE50A6" w:rsidRPr="00A519CA">
        <w:rPr>
          <w:b/>
        </w:rPr>
        <w:t xml:space="preserve"> </w:t>
      </w:r>
      <w:r w:rsidR="00682BE7" w:rsidRPr="00A519CA">
        <w:rPr>
          <w:b/>
        </w:rPr>
        <w:t>Individual</w:t>
      </w:r>
      <w:r w:rsidR="00E3764E" w:rsidRPr="00A519CA">
        <w:rPr>
          <w:b/>
        </w:rPr>
        <w:t xml:space="preserve"> </w:t>
      </w:r>
      <w:r w:rsidR="008B70D9" w:rsidRPr="00A519CA">
        <w:rPr>
          <w:b/>
        </w:rPr>
        <w:t xml:space="preserve">operations and </w:t>
      </w:r>
      <w:r w:rsidRPr="00A519CA">
        <w:rPr>
          <w:b/>
        </w:rPr>
        <w:t>f</w:t>
      </w:r>
      <w:r w:rsidR="008B70D9" w:rsidRPr="00A519CA">
        <w:rPr>
          <w:b/>
        </w:rPr>
        <w:t>ramework operations</w:t>
      </w:r>
      <w:r w:rsidR="00FC16E8" w:rsidRPr="00A519CA">
        <w:rPr>
          <w:b/>
        </w:rPr>
        <w:t xml:space="preserve"> and the process of approving the support of the EU guarantee</w:t>
      </w:r>
    </w:p>
    <w:p w14:paraId="35E9540F" w14:textId="737F87E8" w:rsidR="00F933E3" w:rsidRDefault="00F933E3" w:rsidP="00A519CA">
      <w:pPr>
        <w:spacing w:before="0"/>
      </w:pPr>
    </w:p>
    <w:p w14:paraId="58539C9D" w14:textId="0BF60E13" w:rsidR="000457BB" w:rsidRPr="00A519CA" w:rsidRDefault="0064495C" w:rsidP="00A519CA">
      <w:pPr>
        <w:spacing w:before="0"/>
      </w:pPr>
      <w:r w:rsidRPr="00A519CA">
        <w:t xml:space="preserve">This </w:t>
      </w:r>
      <w:r w:rsidR="00FC16E8" w:rsidRPr="00A519CA">
        <w:t>document</w:t>
      </w:r>
      <w:r w:rsidRPr="00A519CA">
        <w:t xml:space="preserve"> aims at </w:t>
      </w:r>
      <w:r w:rsidR="00E411F1" w:rsidRPr="00A519CA">
        <w:t>clarifying</w:t>
      </w:r>
      <w:r w:rsidRPr="00A519CA">
        <w:t xml:space="preserve"> the process for the design and approval of financial products under InvestEU</w:t>
      </w:r>
      <w:r w:rsidR="00E411F1" w:rsidRPr="00A519CA">
        <w:t>.</w:t>
      </w:r>
      <w:r w:rsidRPr="00A519CA">
        <w:t xml:space="preserve"> </w:t>
      </w:r>
    </w:p>
    <w:p w14:paraId="66438F80" w14:textId="61914F09" w:rsidR="0064495C" w:rsidRPr="00A519CA" w:rsidRDefault="00FC16E8" w:rsidP="00A519CA">
      <w:pPr>
        <w:spacing w:before="0"/>
      </w:pPr>
      <w:r w:rsidRPr="00A519CA">
        <w:t>It also explains the process for</w:t>
      </w:r>
      <w:r w:rsidR="00CF6B54" w:rsidRPr="00A519CA">
        <w:t xml:space="preserve"> the</w:t>
      </w:r>
      <w:r w:rsidR="0064495C" w:rsidRPr="00A519CA">
        <w:t xml:space="preserve"> approval </w:t>
      </w:r>
      <w:r w:rsidR="00405611" w:rsidRPr="00A519CA">
        <w:t>by the I</w:t>
      </w:r>
      <w:r w:rsidR="002E2E49" w:rsidRPr="00A519CA">
        <w:t xml:space="preserve">nvestment </w:t>
      </w:r>
      <w:r w:rsidR="00405611" w:rsidRPr="00A519CA">
        <w:t>C</w:t>
      </w:r>
      <w:r w:rsidR="002E2E49" w:rsidRPr="00A519CA">
        <w:t>ommittee</w:t>
      </w:r>
      <w:r w:rsidR="00405611" w:rsidRPr="00A519CA">
        <w:t xml:space="preserve"> </w:t>
      </w:r>
      <w:r w:rsidR="0064495C" w:rsidRPr="00A519CA">
        <w:t xml:space="preserve">of </w:t>
      </w:r>
      <w:r w:rsidR="00E411F1" w:rsidRPr="00A519CA">
        <w:t xml:space="preserve">the </w:t>
      </w:r>
      <w:r w:rsidR="00A81E4A">
        <w:t xml:space="preserve">use </w:t>
      </w:r>
      <w:r w:rsidR="00E411F1" w:rsidRPr="00A519CA">
        <w:t>of the EU guarantee to financing and</w:t>
      </w:r>
      <w:r w:rsidR="006A61D8">
        <w:t>/or</w:t>
      </w:r>
      <w:r w:rsidR="00E411F1" w:rsidRPr="00A519CA">
        <w:t xml:space="preserve"> </w:t>
      </w:r>
      <w:r w:rsidR="0064495C" w:rsidRPr="00A519CA">
        <w:t xml:space="preserve">investment operations, </w:t>
      </w:r>
      <w:r w:rsidRPr="00A519CA">
        <w:t>which may consist of</w:t>
      </w:r>
      <w:r w:rsidR="00682BE7" w:rsidRPr="00A519CA">
        <w:t xml:space="preserve"> individual</w:t>
      </w:r>
      <w:r w:rsidR="0064495C" w:rsidRPr="00A519CA">
        <w:t xml:space="preserve"> </w:t>
      </w:r>
      <w:r w:rsidR="000457BB" w:rsidRPr="00A519CA">
        <w:t>operations</w:t>
      </w:r>
      <w:r w:rsidR="0064495C" w:rsidRPr="00A519CA">
        <w:t xml:space="preserve"> or </w:t>
      </w:r>
      <w:r w:rsidRPr="00A519CA">
        <w:t>of</w:t>
      </w:r>
      <w:r w:rsidR="0064495C" w:rsidRPr="00A519CA">
        <w:t xml:space="preserve"> framework</w:t>
      </w:r>
      <w:r w:rsidRPr="00A519CA">
        <w:t xml:space="preserve"> </w:t>
      </w:r>
      <w:r w:rsidR="000457BB" w:rsidRPr="00A519CA">
        <w:t>(</w:t>
      </w:r>
      <w:r w:rsidRPr="00A519CA">
        <w:t>or programme</w:t>
      </w:r>
      <w:r w:rsidR="000457BB" w:rsidRPr="00A519CA">
        <w:t>)</w:t>
      </w:r>
      <w:r w:rsidRPr="00A519CA">
        <w:t xml:space="preserve"> </w:t>
      </w:r>
      <w:r w:rsidR="000457BB" w:rsidRPr="00A519CA">
        <w:t>operations with</w:t>
      </w:r>
      <w:r w:rsidR="0064495C" w:rsidRPr="00A519CA">
        <w:t xml:space="preserve"> several </w:t>
      </w:r>
      <w:r w:rsidR="000457BB" w:rsidRPr="00A519CA">
        <w:t>underlying sub-</w:t>
      </w:r>
      <w:r w:rsidR="0064495C" w:rsidRPr="00A519CA">
        <w:t>operations.</w:t>
      </w:r>
      <w:r w:rsidR="000219B8" w:rsidRPr="00A519CA">
        <w:t xml:space="preserve"> </w:t>
      </w:r>
      <w:r w:rsidR="000457BB" w:rsidRPr="00A519CA">
        <w:t>Both</w:t>
      </w:r>
      <w:r w:rsidR="002E2709" w:rsidRPr="00A519CA">
        <w:t xml:space="preserve"> </w:t>
      </w:r>
      <w:r w:rsidR="00682BE7" w:rsidRPr="00A519CA">
        <w:t>individual</w:t>
      </w:r>
      <w:r w:rsidR="002E2709" w:rsidRPr="00A519CA">
        <w:t xml:space="preserve"> </w:t>
      </w:r>
      <w:r w:rsidR="00B750F1" w:rsidRPr="00A519CA">
        <w:t>o</w:t>
      </w:r>
      <w:r w:rsidR="000219B8" w:rsidRPr="00A519CA">
        <w:t xml:space="preserve">perations </w:t>
      </w:r>
      <w:r w:rsidR="000457BB" w:rsidRPr="00A519CA">
        <w:t>and</w:t>
      </w:r>
      <w:r w:rsidR="000219B8" w:rsidRPr="00A519CA">
        <w:t xml:space="preserve"> </w:t>
      </w:r>
      <w:r w:rsidR="002E2709" w:rsidRPr="00A519CA">
        <w:t>f</w:t>
      </w:r>
      <w:r w:rsidR="000219B8" w:rsidRPr="00A519CA">
        <w:t>ramework operations can be direct or intermediated.</w:t>
      </w:r>
    </w:p>
    <w:p w14:paraId="48E51CFB" w14:textId="77777777" w:rsidR="0064495C" w:rsidRPr="00A519CA" w:rsidRDefault="0064495C" w:rsidP="00A519CA">
      <w:pPr>
        <w:spacing w:before="0"/>
      </w:pPr>
    </w:p>
    <w:p w14:paraId="4195D817" w14:textId="2A1AE4AF" w:rsidR="00FE50A6" w:rsidRPr="00A519CA" w:rsidRDefault="00FE50A6" w:rsidP="00A519CA">
      <w:pPr>
        <w:pStyle w:val="ListParagraph"/>
        <w:numPr>
          <w:ilvl w:val="0"/>
          <w:numId w:val="12"/>
        </w:numPr>
        <w:spacing w:before="0"/>
        <w:rPr>
          <w:b/>
        </w:rPr>
      </w:pPr>
      <w:r w:rsidRPr="00A519CA">
        <w:rPr>
          <w:b/>
        </w:rPr>
        <w:t xml:space="preserve">Design and approval </w:t>
      </w:r>
      <w:r w:rsidR="006F5B2E" w:rsidRPr="00A519CA">
        <w:rPr>
          <w:b/>
        </w:rPr>
        <w:t xml:space="preserve">process </w:t>
      </w:r>
      <w:r w:rsidRPr="00A519CA">
        <w:rPr>
          <w:b/>
        </w:rPr>
        <w:t>of InvestEU financial products</w:t>
      </w:r>
    </w:p>
    <w:p w14:paraId="2C8FC758" w14:textId="22058376" w:rsidR="00C5544D" w:rsidRPr="00A519CA" w:rsidRDefault="0064495C" w:rsidP="00A519CA">
      <w:pPr>
        <w:spacing w:before="0"/>
      </w:pPr>
      <w:r w:rsidRPr="00A519CA">
        <w:t xml:space="preserve">InvestEU will </w:t>
      </w:r>
      <w:r w:rsidR="00B750F1" w:rsidRPr="00A519CA">
        <w:t>allow</w:t>
      </w:r>
      <w:r w:rsidRPr="00A519CA">
        <w:t xml:space="preserve"> </w:t>
      </w:r>
      <w:r w:rsidR="00DA55BC" w:rsidRPr="00A519CA">
        <w:t>i</w:t>
      </w:r>
      <w:r w:rsidR="00B750F1" w:rsidRPr="00A519CA">
        <w:t xml:space="preserve">mplementing </w:t>
      </w:r>
      <w:r w:rsidR="00DA55BC" w:rsidRPr="00A519CA">
        <w:t>p</w:t>
      </w:r>
      <w:r w:rsidR="00B750F1" w:rsidRPr="00A519CA">
        <w:t xml:space="preserve">artners to deliver </w:t>
      </w:r>
      <w:r w:rsidRPr="00A519CA">
        <w:t xml:space="preserve">a variety of financial products to </w:t>
      </w:r>
      <w:r w:rsidR="00C924D1" w:rsidRPr="00A519CA">
        <w:t>final recipients</w:t>
      </w:r>
      <w:r w:rsidRPr="00A519CA">
        <w:t xml:space="preserve">. </w:t>
      </w:r>
      <w:r w:rsidR="005D4DA2" w:rsidRPr="00A519CA">
        <w:t>F</w:t>
      </w:r>
      <w:r w:rsidR="00C5544D" w:rsidRPr="00A519CA">
        <w:t xml:space="preserve">inancial products will be </w:t>
      </w:r>
      <w:r w:rsidR="005D4DA2" w:rsidRPr="00A519CA">
        <w:t xml:space="preserve">designed </w:t>
      </w:r>
      <w:r w:rsidR="00C5544D" w:rsidRPr="00A519CA">
        <w:t xml:space="preserve">through a collaborative </w:t>
      </w:r>
      <w:r w:rsidR="00C924D1" w:rsidRPr="00A519CA">
        <w:t xml:space="preserve">and iterative </w:t>
      </w:r>
      <w:r w:rsidR="00C5544D" w:rsidRPr="00A519CA">
        <w:t>process between the Commission and</w:t>
      </w:r>
      <w:r w:rsidR="000B16BD" w:rsidRPr="00A519CA">
        <w:t xml:space="preserve"> </w:t>
      </w:r>
      <w:r w:rsidR="00322F94" w:rsidRPr="00A519CA">
        <w:t>implementing p</w:t>
      </w:r>
      <w:r w:rsidR="00C5544D" w:rsidRPr="00A519CA">
        <w:t>artners</w:t>
      </w:r>
      <w:r w:rsidR="00B750F1" w:rsidRPr="00A519CA">
        <w:rPr>
          <w:rStyle w:val="FootnoteReference"/>
        </w:rPr>
        <w:footnoteReference w:id="3"/>
      </w:r>
      <w:r w:rsidR="00C5544D" w:rsidRPr="00A519CA">
        <w:t>.</w:t>
      </w:r>
    </w:p>
    <w:p w14:paraId="22DF3E68" w14:textId="77777777" w:rsidR="00C5544D" w:rsidRPr="00A519CA" w:rsidRDefault="00C5544D" w:rsidP="00A519CA">
      <w:pPr>
        <w:spacing w:before="0"/>
      </w:pPr>
      <w:r w:rsidRPr="00A519CA">
        <w:t>The process foreseen includes the following steps:</w:t>
      </w:r>
    </w:p>
    <w:p w14:paraId="30074A57" w14:textId="61322F71" w:rsidR="00B370F1" w:rsidRDefault="00C5544D" w:rsidP="00530CA9">
      <w:pPr>
        <w:pStyle w:val="ListParagraph"/>
        <w:numPr>
          <w:ilvl w:val="0"/>
          <w:numId w:val="9"/>
        </w:numPr>
        <w:spacing w:before="0"/>
        <w:contextualSpacing w:val="0"/>
      </w:pPr>
      <w:r w:rsidRPr="00A519CA">
        <w:t xml:space="preserve">The Commission will </w:t>
      </w:r>
      <w:r w:rsidR="00DD1038" w:rsidRPr="00A519CA">
        <w:t xml:space="preserve">reflect on </w:t>
      </w:r>
      <w:r w:rsidRPr="00A519CA">
        <w:t>key financial products to be developed under each policy window, based on the</w:t>
      </w:r>
      <w:r w:rsidR="00103575" w:rsidRPr="00A519CA">
        <w:t xml:space="preserve"> policy needs identified for the next </w:t>
      </w:r>
      <w:r w:rsidR="005612D6" w:rsidRPr="00A519CA">
        <w:t xml:space="preserve">multiannual financial framework </w:t>
      </w:r>
      <w:r w:rsidR="00103575" w:rsidRPr="00A519CA">
        <w:t>period</w:t>
      </w:r>
      <w:r w:rsidR="00A81E4A">
        <w:t xml:space="preserve"> and market</w:t>
      </w:r>
      <w:r w:rsidR="00A90E0B">
        <w:t xml:space="preserve"> </w:t>
      </w:r>
      <w:r w:rsidR="00A81E4A">
        <w:t>demand</w:t>
      </w:r>
      <w:r w:rsidR="005612D6" w:rsidRPr="00A519CA">
        <w:t>,</w:t>
      </w:r>
      <w:r w:rsidR="00103575" w:rsidRPr="00A519CA">
        <w:t xml:space="preserve"> building</w:t>
      </w:r>
      <w:r w:rsidR="005612D6" w:rsidRPr="00A519CA">
        <w:t xml:space="preserve">, </w:t>
      </w:r>
      <w:r w:rsidR="005612D6" w:rsidRPr="00530CA9">
        <w:rPr>
          <w:i/>
        </w:rPr>
        <w:t>inter alia,</w:t>
      </w:r>
      <w:r w:rsidR="00103575" w:rsidRPr="00A519CA">
        <w:t xml:space="preserve"> on the experience of existing financial instruments</w:t>
      </w:r>
      <w:r w:rsidRPr="00A519CA">
        <w:t xml:space="preserve">. Each </w:t>
      </w:r>
      <w:r w:rsidR="005D4DA2" w:rsidRPr="00A519CA">
        <w:t xml:space="preserve">financial </w:t>
      </w:r>
      <w:r w:rsidRPr="00A519CA">
        <w:t xml:space="preserve">product </w:t>
      </w:r>
      <w:r w:rsidR="00EE095D" w:rsidRPr="00A519CA">
        <w:t>will have to comply with the principles set out in the investment guidelines</w:t>
      </w:r>
      <w:r w:rsidR="005D4DA2" w:rsidRPr="00A519CA">
        <w:t>.</w:t>
      </w:r>
      <w:r w:rsidR="00246918">
        <w:t xml:space="preserve"> The </w:t>
      </w:r>
      <w:r w:rsidR="00D2307B">
        <w:t xml:space="preserve">elements defined </w:t>
      </w:r>
      <w:r w:rsidR="00F378EF">
        <w:t xml:space="preserve">in the </w:t>
      </w:r>
      <w:r w:rsidR="00523CA9">
        <w:t xml:space="preserve">financial </w:t>
      </w:r>
      <w:r w:rsidR="00F378EF">
        <w:t xml:space="preserve">product fiches will </w:t>
      </w:r>
      <w:r w:rsidR="00246918">
        <w:t xml:space="preserve">focus on policy </w:t>
      </w:r>
      <w:r w:rsidR="00523CA9">
        <w:t>objectives</w:t>
      </w:r>
      <w:r w:rsidR="00D2307B">
        <w:t xml:space="preserve"> and </w:t>
      </w:r>
      <w:r w:rsidR="008D2D90">
        <w:t>delivery mechanism</w:t>
      </w:r>
      <w:r w:rsidR="00A90E0B">
        <w:t>(s)</w:t>
      </w:r>
      <w:r w:rsidR="008D2D90">
        <w:t xml:space="preserve"> to the market as well as </w:t>
      </w:r>
      <w:r w:rsidR="00D2307B">
        <w:t xml:space="preserve">on the risk-revenue sharing mechanism between the Commission and the implementing partner. </w:t>
      </w:r>
      <w:r w:rsidR="00A56972">
        <w:t>In certain cases the delivery mechanism will be narrowly defined, whereas in others flexibility will be left to the implementing partners to the extent it is compatible with the agreed risk</w:t>
      </w:r>
      <w:r w:rsidR="00A90E0B">
        <w:t>-</w:t>
      </w:r>
      <w:r w:rsidR="00A56972">
        <w:t xml:space="preserve">revenue sharing mechanism. </w:t>
      </w:r>
    </w:p>
    <w:p w14:paraId="018E3B80" w14:textId="4136C8FA" w:rsidR="008465B8" w:rsidRDefault="00CA2340" w:rsidP="008465B8">
      <w:pPr>
        <w:pStyle w:val="ListParagraph"/>
        <w:numPr>
          <w:ilvl w:val="0"/>
          <w:numId w:val="9"/>
        </w:numPr>
        <w:spacing w:before="0"/>
        <w:contextualSpacing w:val="0"/>
      </w:pPr>
      <w:r w:rsidRPr="00A519CA">
        <w:t>Depending on the policy needs</w:t>
      </w:r>
      <w:r w:rsidR="00661CA8">
        <w:t>, market demand</w:t>
      </w:r>
      <w:r w:rsidRPr="00A519CA">
        <w:t xml:space="preserve"> and the geographical scope of activities of an implementing partner, a</w:t>
      </w:r>
      <w:r w:rsidR="005D4DA2" w:rsidRPr="00A519CA">
        <w:t xml:space="preserve"> financial product </w:t>
      </w:r>
      <w:r w:rsidR="00C5544D" w:rsidRPr="00A519CA">
        <w:t>c</w:t>
      </w:r>
      <w:r w:rsidR="005612D6" w:rsidRPr="00A519CA">
        <w:t>an</w:t>
      </w:r>
      <w:r w:rsidR="00C5544D" w:rsidRPr="00A519CA">
        <w:t xml:space="preserve"> be deployed at EU level, across a defined group of M</w:t>
      </w:r>
      <w:r w:rsidR="000B16BD" w:rsidRPr="00A519CA">
        <w:t xml:space="preserve">ember </w:t>
      </w:r>
      <w:r w:rsidR="00C5544D" w:rsidRPr="00A519CA">
        <w:t>S</w:t>
      </w:r>
      <w:r w:rsidR="000B16BD" w:rsidRPr="00A519CA">
        <w:t>tates</w:t>
      </w:r>
      <w:r w:rsidR="00C5544D" w:rsidRPr="00A519CA">
        <w:t>, or at national or</w:t>
      </w:r>
      <w:r w:rsidR="00661CA8">
        <w:t xml:space="preserve"> </w:t>
      </w:r>
      <w:r w:rsidR="00C5544D" w:rsidRPr="00A519CA">
        <w:t>regional</w:t>
      </w:r>
      <w:r w:rsidR="00661CA8">
        <w:t xml:space="preserve"> </w:t>
      </w:r>
      <w:r w:rsidR="00C5544D" w:rsidRPr="00A519CA">
        <w:t xml:space="preserve">level </w:t>
      </w:r>
      <w:r w:rsidR="00B750F1" w:rsidRPr="00A519CA">
        <w:t>within</w:t>
      </w:r>
      <w:r w:rsidR="00C5544D" w:rsidRPr="00A519CA">
        <w:t xml:space="preserve"> one M</w:t>
      </w:r>
      <w:r w:rsidR="000B16BD" w:rsidRPr="00A519CA">
        <w:t xml:space="preserve">ember </w:t>
      </w:r>
      <w:r w:rsidR="00C5544D" w:rsidRPr="00A519CA">
        <w:t>S</w:t>
      </w:r>
      <w:r w:rsidR="000B16BD" w:rsidRPr="00A519CA">
        <w:t>tate</w:t>
      </w:r>
      <w:r w:rsidR="005D4DA2" w:rsidRPr="00A519CA">
        <w:t xml:space="preserve">. </w:t>
      </w:r>
      <w:r w:rsidR="009D1D87" w:rsidRPr="00A519CA">
        <w:t xml:space="preserve">A similar </w:t>
      </w:r>
      <w:r w:rsidRPr="00A519CA">
        <w:t xml:space="preserve">financial </w:t>
      </w:r>
      <w:r w:rsidR="009D1D87" w:rsidRPr="00A519CA">
        <w:t>product c</w:t>
      </w:r>
      <w:r w:rsidR="005612D6" w:rsidRPr="00A519CA">
        <w:t>an</w:t>
      </w:r>
      <w:r w:rsidR="009D1D87" w:rsidRPr="00A519CA">
        <w:t xml:space="preserve"> be made available under the EU compartment or the M</w:t>
      </w:r>
      <w:r w:rsidR="000B16BD" w:rsidRPr="00A519CA">
        <w:t xml:space="preserve">ember </w:t>
      </w:r>
      <w:r w:rsidR="009D1D87" w:rsidRPr="00A519CA">
        <w:t>S</w:t>
      </w:r>
      <w:r w:rsidR="000B16BD" w:rsidRPr="00A519CA">
        <w:t>tate</w:t>
      </w:r>
      <w:r w:rsidR="009D1D87" w:rsidRPr="00A519CA">
        <w:t xml:space="preserve"> compartment, depending on the </w:t>
      </w:r>
      <w:r w:rsidRPr="00A519CA">
        <w:t>market failures or sub-optimal investment situations</w:t>
      </w:r>
      <w:r w:rsidR="009D1D87" w:rsidRPr="00A519CA">
        <w:t xml:space="preserve"> identified on the respective markets. </w:t>
      </w:r>
      <w:r w:rsidR="00144253">
        <w:t>The Commission, in cooperation with the EIB Group and potential implementing partners, will identify standardised typologies/models of financial structure underpinning risk-</w:t>
      </w:r>
      <w:r w:rsidR="00144253">
        <w:lastRenderedPageBreak/>
        <w:t xml:space="preserve">revenue sharing mechanisms that could be deployed under InvestEU. </w:t>
      </w:r>
      <w:r w:rsidR="008465B8">
        <w:t>The Commission will not present to others any draft financial or advisory product fiches discussed with/proposed by a potential implementing partner. Discussions with implementing partners on such fiches will be strictly bilateral and confidential.</w:t>
      </w:r>
    </w:p>
    <w:p w14:paraId="6093A914" w14:textId="139F8104" w:rsidR="0089788B" w:rsidRDefault="0089788B" w:rsidP="0089788B">
      <w:pPr>
        <w:pStyle w:val="ListParagraph"/>
        <w:numPr>
          <w:ilvl w:val="0"/>
          <w:numId w:val="9"/>
        </w:numPr>
        <w:spacing w:before="0"/>
        <w:contextualSpacing w:val="0"/>
      </w:pPr>
      <w:r>
        <w:t>T</w:t>
      </w:r>
      <w:r w:rsidR="00530CA9">
        <w:t xml:space="preserve">he Commission will prepare standard model </w:t>
      </w:r>
      <w:r w:rsidR="00A81E4A">
        <w:t xml:space="preserve">product </w:t>
      </w:r>
      <w:r w:rsidR="00530CA9">
        <w:t xml:space="preserve">fiches for the attention of implementing partners to guide them in their internal preparation on </w:t>
      </w:r>
      <w:r w:rsidR="00246918">
        <w:t xml:space="preserve">potential </w:t>
      </w:r>
      <w:r>
        <w:t xml:space="preserve">financial </w:t>
      </w:r>
      <w:r w:rsidR="00530CA9">
        <w:t xml:space="preserve">products. </w:t>
      </w:r>
      <w:r>
        <w:t>Feedback from i</w:t>
      </w:r>
      <w:bookmarkStart w:id="0" w:name="_GoBack"/>
      <w:bookmarkEnd w:id="0"/>
      <w:r>
        <w:t xml:space="preserve">mplementing partners will feed into the preparation of the call(s) for expression of interest. </w:t>
      </w:r>
      <w:r w:rsidR="00246918">
        <w:t>In addition, t</w:t>
      </w:r>
      <w:r>
        <w:t xml:space="preserve">he Commission will also prepare </w:t>
      </w:r>
      <w:r w:rsidR="00082B59">
        <w:t xml:space="preserve">draft </w:t>
      </w:r>
      <w:r w:rsidRPr="00A519CA">
        <w:t xml:space="preserve">financial product fiches </w:t>
      </w:r>
      <w:r>
        <w:t>to</w:t>
      </w:r>
      <w:r w:rsidRPr="00A519CA">
        <w:t xml:space="preserve"> be </w:t>
      </w:r>
      <w:r>
        <w:t>discussed with the EIB Group with a view to engaging on</w:t>
      </w:r>
      <w:r w:rsidR="00246918">
        <w:t xml:space="preserve"> financial </w:t>
      </w:r>
      <w:r>
        <w:t>products to be deployed under its 75% share</w:t>
      </w:r>
      <w:r w:rsidR="002949E5">
        <w:t xml:space="preserve">. </w:t>
      </w:r>
      <w:r w:rsidR="0035464D">
        <w:t>Similar to</w:t>
      </w:r>
      <w:r w:rsidR="001230E0">
        <w:t xml:space="preserve"> other implementing partners in the framework of the call for expression of interest</w:t>
      </w:r>
      <w:r w:rsidR="0035464D">
        <w:t xml:space="preserve"> (see point 4 below)</w:t>
      </w:r>
      <w:r w:rsidR="001230E0">
        <w:t xml:space="preserve"> t</w:t>
      </w:r>
      <w:r w:rsidR="002949E5">
        <w:t>he EIB Group will have the opportunity to propose financial products to the Commission</w:t>
      </w:r>
      <w:r>
        <w:t xml:space="preserve">.  </w:t>
      </w:r>
    </w:p>
    <w:p w14:paraId="6969E18A" w14:textId="6D3F7998" w:rsidR="00C5544D" w:rsidRPr="00A519CA" w:rsidRDefault="0089788B" w:rsidP="00530CA9">
      <w:pPr>
        <w:pStyle w:val="ListParagraph"/>
        <w:numPr>
          <w:ilvl w:val="0"/>
          <w:numId w:val="9"/>
        </w:numPr>
        <w:spacing w:before="0"/>
        <w:contextualSpacing w:val="0"/>
      </w:pPr>
      <w:r>
        <w:t xml:space="preserve">At a later stage, for the purpose of </w:t>
      </w:r>
      <w:r w:rsidRPr="00A519CA">
        <w:t xml:space="preserve">the call(s) for expression of interest </w:t>
      </w:r>
      <w:r>
        <w:t xml:space="preserve">to be </w:t>
      </w:r>
      <w:r w:rsidRPr="00A519CA">
        <w:t xml:space="preserve">launched by the Commission </w:t>
      </w:r>
      <w:r>
        <w:t xml:space="preserve">in early 2020, </w:t>
      </w:r>
      <w:r w:rsidR="001230E0">
        <w:t xml:space="preserve">further models of </w:t>
      </w:r>
      <w:r w:rsidR="0035464D">
        <w:t xml:space="preserve">financial </w:t>
      </w:r>
      <w:r w:rsidR="002949E5">
        <w:t xml:space="preserve">product </w:t>
      </w:r>
      <w:r w:rsidR="00530CA9">
        <w:t>fiche</w:t>
      </w:r>
      <w:r w:rsidR="006735E8">
        <w:t>s</w:t>
      </w:r>
      <w:r w:rsidR="00530CA9">
        <w:t xml:space="preserve"> will be </w:t>
      </w:r>
      <w:r>
        <w:t>prepared</w:t>
      </w:r>
      <w:r w:rsidR="00530CA9">
        <w:t xml:space="preserve">. These fiches will present the </w:t>
      </w:r>
      <w:r w:rsidR="00CA2340" w:rsidRPr="00A519CA">
        <w:t>Commission</w:t>
      </w:r>
      <w:r w:rsidR="00530CA9">
        <w:t>’s</w:t>
      </w:r>
      <w:r w:rsidR="00CA2340" w:rsidRPr="00A519CA">
        <w:t xml:space="preserve"> </w:t>
      </w:r>
      <w:r w:rsidR="00DD1038" w:rsidRPr="00A519CA">
        <w:t xml:space="preserve">expectation </w:t>
      </w:r>
      <w:r w:rsidR="002949E5">
        <w:t xml:space="preserve">on the policy priorities </w:t>
      </w:r>
      <w:r w:rsidR="00A32CF5">
        <w:t xml:space="preserve">and </w:t>
      </w:r>
      <w:r w:rsidR="00103575" w:rsidRPr="00A519CA">
        <w:t xml:space="preserve">potential </w:t>
      </w:r>
      <w:r w:rsidR="005D24B7" w:rsidRPr="00A519CA">
        <w:t xml:space="preserve">financial </w:t>
      </w:r>
      <w:r w:rsidR="00103575" w:rsidRPr="00A519CA">
        <w:t>products</w:t>
      </w:r>
      <w:r w:rsidR="005D24B7" w:rsidRPr="00A519CA">
        <w:t xml:space="preserve"> to be deployed under InvestEU</w:t>
      </w:r>
      <w:r w:rsidR="00530CA9">
        <w:t xml:space="preserve"> with regard to specific sectors</w:t>
      </w:r>
      <w:r w:rsidR="00C924D1" w:rsidRPr="00A519CA">
        <w:t>.</w:t>
      </w:r>
    </w:p>
    <w:p w14:paraId="1DFE4918" w14:textId="5D52EBC6" w:rsidR="00C5544D" w:rsidRDefault="008D59A8" w:rsidP="00A519CA">
      <w:pPr>
        <w:pStyle w:val="ListParagraph"/>
        <w:numPr>
          <w:ilvl w:val="0"/>
          <w:numId w:val="9"/>
        </w:numPr>
        <w:spacing w:before="0"/>
        <w:ind w:left="714" w:hanging="357"/>
        <w:contextualSpacing w:val="0"/>
      </w:pPr>
      <w:r>
        <w:t>For the products under the EU compartment: w</w:t>
      </w:r>
      <w:r w:rsidR="00C5544D" w:rsidRPr="00A519CA">
        <w:t xml:space="preserve">hen </w:t>
      </w:r>
      <w:r w:rsidR="00DA55BC" w:rsidRPr="00A519CA">
        <w:t>i</w:t>
      </w:r>
      <w:r w:rsidR="00C924D1" w:rsidRPr="00A519CA">
        <w:t xml:space="preserve">mplementing </w:t>
      </w:r>
      <w:r w:rsidR="00DA55BC" w:rsidRPr="00A519CA">
        <w:t>p</w:t>
      </w:r>
      <w:r w:rsidR="00C5544D" w:rsidRPr="00A519CA">
        <w:t>artners</w:t>
      </w:r>
      <w:r w:rsidR="00DD1038" w:rsidRPr="00A519CA">
        <w:rPr>
          <w:rStyle w:val="FootnoteReference"/>
        </w:rPr>
        <w:footnoteReference w:id="4"/>
      </w:r>
      <w:r w:rsidR="00DD1038" w:rsidRPr="00A519CA">
        <w:t xml:space="preserve"> </w:t>
      </w:r>
      <w:r w:rsidR="00C5544D" w:rsidRPr="00A519CA">
        <w:t xml:space="preserve"> </w:t>
      </w:r>
      <w:r w:rsidR="00B750F1" w:rsidRPr="00A519CA">
        <w:t xml:space="preserve">other than the EIB Group </w:t>
      </w:r>
      <w:r w:rsidR="00C5544D" w:rsidRPr="00A519CA">
        <w:t xml:space="preserve">submit their proposals under the call(s) for expression of interest to </w:t>
      </w:r>
      <w:r w:rsidR="00CA2340" w:rsidRPr="00A519CA">
        <w:t xml:space="preserve">be </w:t>
      </w:r>
      <w:r w:rsidR="005D24B7" w:rsidRPr="00A519CA">
        <w:t>grant</w:t>
      </w:r>
      <w:r w:rsidR="00CA2340" w:rsidRPr="00A519CA">
        <w:t>ed</w:t>
      </w:r>
      <w:r w:rsidR="00C5544D" w:rsidRPr="00A519CA">
        <w:t xml:space="preserve"> access </w:t>
      </w:r>
      <w:r w:rsidR="0068400B" w:rsidRPr="00A519CA">
        <w:t xml:space="preserve">to </w:t>
      </w:r>
      <w:r w:rsidR="00C5544D" w:rsidRPr="00A519CA">
        <w:t xml:space="preserve">the InvestEU </w:t>
      </w:r>
      <w:r w:rsidR="008051FF" w:rsidRPr="00A519CA">
        <w:t>Fund</w:t>
      </w:r>
      <w:r w:rsidR="00607839" w:rsidRPr="00A519CA">
        <w:t xml:space="preserve"> for the first allocation period</w:t>
      </w:r>
      <w:r w:rsidR="00C5544D" w:rsidRPr="00A519CA">
        <w:t xml:space="preserve">, they will have the opportunity </w:t>
      </w:r>
      <w:r w:rsidR="00E733AC" w:rsidRPr="00A519CA">
        <w:t>to propose financial products</w:t>
      </w:r>
      <w:r w:rsidR="00607839" w:rsidRPr="00A519CA">
        <w:t>, either</w:t>
      </w:r>
      <w:r w:rsidR="00103575" w:rsidRPr="00A519CA">
        <w:t xml:space="preserve"> b</w:t>
      </w:r>
      <w:r w:rsidR="00607839" w:rsidRPr="00A519CA">
        <w:t xml:space="preserve">ased </w:t>
      </w:r>
      <w:r w:rsidR="00103575" w:rsidRPr="00A519CA">
        <w:t xml:space="preserve">on the </w:t>
      </w:r>
      <w:r w:rsidR="001230E0">
        <w:t>models</w:t>
      </w:r>
      <w:r w:rsidR="00103575" w:rsidRPr="00A519CA">
        <w:t xml:space="preserve"> attached to the call</w:t>
      </w:r>
      <w:r w:rsidR="00256D6A" w:rsidRPr="00A519CA">
        <w:t>(s)</w:t>
      </w:r>
      <w:r w:rsidR="00103575" w:rsidRPr="00A519CA">
        <w:t xml:space="preserve"> or other </w:t>
      </w:r>
      <w:r w:rsidR="008051FF" w:rsidRPr="00A519CA">
        <w:t xml:space="preserve">financial </w:t>
      </w:r>
      <w:r w:rsidR="00103575" w:rsidRPr="00A519CA">
        <w:t>products</w:t>
      </w:r>
      <w:r w:rsidR="008051FF" w:rsidRPr="00A519CA">
        <w:t xml:space="preserve"> in line with the terms of the call(s) of expression of interest</w:t>
      </w:r>
      <w:r w:rsidR="00E733AC" w:rsidRPr="00A519CA">
        <w:t xml:space="preserve">. </w:t>
      </w:r>
      <w:r w:rsidR="00FC0374" w:rsidRPr="00A519CA">
        <w:t>In their proposal</w:t>
      </w:r>
      <w:r w:rsidR="008051FF" w:rsidRPr="00A519CA">
        <w:t>s</w:t>
      </w:r>
      <w:r w:rsidR="00E733AC" w:rsidRPr="00A519CA">
        <w:t xml:space="preserve">, </w:t>
      </w:r>
      <w:r w:rsidR="00A22627" w:rsidRPr="00A519CA">
        <w:t>i</w:t>
      </w:r>
      <w:r w:rsidR="00FC0374" w:rsidRPr="00A519CA">
        <w:t xml:space="preserve">mplementing </w:t>
      </w:r>
      <w:r w:rsidR="00A22627" w:rsidRPr="00A519CA">
        <w:t>p</w:t>
      </w:r>
      <w:r w:rsidR="00FC0374" w:rsidRPr="00A519CA">
        <w:t xml:space="preserve">artners will be required to </w:t>
      </w:r>
      <w:r w:rsidR="00103575" w:rsidRPr="00A519CA">
        <w:t>outline</w:t>
      </w:r>
      <w:r w:rsidR="008051FF" w:rsidRPr="00A519CA">
        <w:t xml:space="preserve"> the</w:t>
      </w:r>
      <w:r w:rsidR="00103575" w:rsidRPr="00A519CA">
        <w:t xml:space="preserve"> </w:t>
      </w:r>
      <w:r w:rsidR="00F924F7">
        <w:t xml:space="preserve">proposed </w:t>
      </w:r>
      <w:r w:rsidR="00103575" w:rsidRPr="00A519CA">
        <w:t xml:space="preserve">terms and conditions for each </w:t>
      </w:r>
      <w:r w:rsidR="008051FF" w:rsidRPr="00A519CA">
        <w:t xml:space="preserve">financial </w:t>
      </w:r>
      <w:r w:rsidR="005D24B7" w:rsidRPr="00A519CA">
        <w:t>product</w:t>
      </w:r>
      <w:r w:rsidR="00256D6A" w:rsidRPr="00A519CA">
        <w:t xml:space="preserve">, if they depart from the Commission </w:t>
      </w:r>
      <w:r w:rsidR="001230E0">
        <w:t>model</w:t>
      </w:r>
      <w:r w:rsidR="0035464D">
        <w:t>s</w:t>
      </w:r>
      <w:r w:rsidR="00FC0374" w:rsidRPr="00A519CA">
        <w:t>.</w:t>
      </w:r>
      <w:r w:rsidR="00E733AC" w:rsidRPr="00A519CA">
        <w:t xml:space="preserve"> </w:t>
      </w:r>
    </w:p>
    <w:p w14:paraId="00026CE2" w14:textId="13A426E0" w:rsidR="008D59A8" w:rsidRPr="00A519CA" w:rsidRDefault="008D59A8" w:rsidP="00A519CA">
      <w:pPr>
        <w:pStyle w:val="ListParagraph"/>
        <w:numPr>
          <w:ilvl w:val="0"/>
          <w:numId w:val="9"/>
        </w:numPr>
        <w:spacing w:before="0"/>
        <w:ind w:left="714" w:hanging="357"/>
        <w:contextualSpacing w:val="0"/>
      </w:pPr>
      <w:r>
        <w:t xml:space="preserve">For the products under the Member State compartment: the implementing </w:t>
      </w:r>
      <w:r w:rsidR="00F924F7">
        <w:t xml:space="preserve">partner </w:t>
      </w:r>
      <w:r>
        <w:t>proposed by the Member State c</w:t>
      </w:r>
      <w:r w:rsidR="00F924F7">
        <w:t>an</w:t>
      </w:r>
      <w:r>
        <w:t xml:space="preserve"> submit </w:t>
      </w:r>
      <w:r w:rsidR="00F924F7">
        <w:t xml:space="preserve">proposed </w:t>
      </w:r>
      <w:r>
        <w:t>financial products as soon as the discussion on the contribution agreement is in a mature stage.</w:t>
      </w:r>
    </w:p>
    <w:p w14:paraId="3F46EF04" w14:textId="512BF015" w:rsidR="00C5544D" w:rsidRPr="00A519CA" w:rsidRDefault="00E733AC" w:rsidP="003E5858">
      <w:pPr>
        <w:pStyle w:val="ListParagraph"/>
        <w:numPr>
          <w:ilvl w:val="0"/>
          <w:numId w:val="9"/>
        </w:numPr>
        <w:spacing w:before="0"/>
        <w:ind w:left="714" w:hanging="357"/>
        <w:contextualSpacing w:val="0"/>
      </w:pPr>
      <w:r w:rsidRPr="00A519CA">
        <w:t xml:space="preserve">For each </w:t>
      </w:r>
      <w:r w:rsidR="00A22627" w:rsidRPr="00A519CA">
        <w:t>i</w:t>
      </w:r>
      <w:r w:rsidRPr="00A519CA">
        <w:t xml:space="preserve">mplementing </w:t>
      </w:r>
      <w:r w:rsidR="00A22627" w:rsidRPr="00A519CA">
        <w:t>p</w:t>
      </w:r>
      <w:r w:rsidRPr="00A519CA">
        <w:t>artner, the financial products to be deployed will be</w:t>
      </w:r>
      <w:r w:rsidR="0068400B" w:rsidRPr="00A519CA">
        <w:t xml:space="preserve"> </w:t>
      </w:r>
      <w:r w:rsidR="008051FF" w:rsidRPr="00A519CA">
        <w:t>defined</w:t>
      </w:r>
      <w:r w:rsidR="00607839" w:rsidRPr="00A519CA">
        <w:t xml:space="preserve"> </w:t>
      </w:r>
      <w:r w:rsidRPr="00A519CA">
        <w:t xml:space="preserve">in the guarantee agreement to be signed </w:t>
      </w:r>
      <w:r w:rsidR="008051FF" w:rsidRPr="00A519CA">
        <w:t xml:space="preserve">between </w:t>
      </w:r>
      <w:r w:rsidR="00F924F7">
        <w:t>it</w:t>
      </w:r>
      <w:r w:rsidR="008051FF" w:rsidRPr="00A519CA">
        <w:t xml:space="preserve"> and</w:t>
      </w:r>
      <w:r w:rsidRPr="00A519CA">
        <w:t xml:space="preserve"> the Commission. </w:t>
      </w:r>
      <w:r w:rsidR="00A51E1C" w:rsidRPr="00A519CA">
        <w:t xml:space="preserve">The guarantee agreement will indicate a </w:t>
      </w:r>
      <w:r w:rsidR="0068400B" w:rsidRPr="00A519CA">
        <w:t xml:space="preserve">total </w:t>
      </w:r>
      <w:r w:rsidR="00FA47ED" w:rsidRPr="00A519CA">
        <w:t>maximum</w:t>
      </w:r>
      <w:r w:rsidR="00A51E1C" w:rsidRPr="00A519CA">
        <w:t xml:space="preserve"> amount</w:t>
      </w:r>
      <w:r w:rsidR="000219B8" w:rsidRPr="00A519CA">
        <w:t xml:space="preserve"> of </w:t>
      </w:r>
      <w:r w:rsidR="00F924F7">
        <w:t xml:space="preserve">EU </w:t>
      </w:r>
      <w:r w:rsidR="000219B8" w:rsidRPr="00A519CA">
        <w:t xml:space="preserve">guarantee available to the </w:t>
      </w:r>
      <w:r w:rsidR="00A22627" w:rsidRPr="00A519CA">
        <w:t>i</w:t>
      </w:r>
      <w:r w:rsidR="000219B8" w:rsidRPr="00A519CA">
        <w:t xml:space="preserve">mplementing </w:t>
      </w:r>
      <w:r w:rsidR="00A22627" w:rsidRPr="00A519CA">
        <w:t>p</w:t>
      </w:r>
      <w:r w:rsidR="00A51E1C" w:rsidRPr="00A519CA">
        <w:t>artner under InvestEU</w:t>
      </w:r>
      <w:r w:rsidR="00F924F7">
        <w:t xml:space="preserve"> and, as appropriate, a split between financial products</w:t>
      </w:r>
      <w:r w:rsidR="00A51E1C" w:rsidRPr="00A519CA">
        <w:t xml:space="preserve">. </w:t>
      </w:r>
      <w:r w:rsidR="005D4DA2" w:rsidRPr="00A519CA">
        <w:t>The</w:t>
      </w:r>
      <w:r w:rsidR="00A90E0B">
        <w:t xml:space="preserve"> final</w:t>
      </w:r>
      <w:r w:rsidRPr="00A519CA">
        <w:t xml:space="preserve"> financial product </w:t>
      </w:r>
      <w:r w:rsidR="00A90E0B">
        <w:t>descriptions</w:t>
      </w:r>
      <w:r w:rsidR="00260B8C" w:rsidRPr="00A519CA">
        <w:t xml:space="preserve"> </w:t>
      </w:r>
      <w:r w:rsidR="00863BFF" w:rsidRPr="00A519CA">
        <w:t>will be attached to the guarantee agreement</w:t>
      </w:r>
      <w:r w:rsidR="00863BFF">
        <w:t>s and will</w:t>
      </w:r>
      <w:r w:rsidR="00863BFF" w:rsidRPr="00A519CA">
        <w:t xml:space="preserve"> </w:t>
      </w:r>
      <w:r w:rsidRPr="00A519CA">
        <w:t xml:space="preserve">detail </w:t>
      </w:r>
      <w:r w:rsidR="002949E5">
        <w:t xml:space="preserve">substantially </w:t>
      </w:r>
      <w:r w:rsidRPr="00A519CA">
        <w:t xml:space="preserve">the terms and conditions of </w:t>
      </w:r>
      <w:r w:rsidR="00863BFF">
        <w:t>the</w:t>
      </w:r>
      <w:r w:rsidR="00863BFF" w:rsidRPr="00A519CA">
        <w:t xml:space="preserve"> </w:t>
      </w:r>
      <w:r w:rsidR="00256D6A" w:rsidRPr="00A519CA">
        <w:t>financial</w:t>
      </w:r>
      <w:r w:rsidRPr="00A519CA">
        <w:t xml:space="preserve"> product</w:t>
      </w:r>
      <w:r w:rsidR="00256D6A" w:rsidRPr="00A519CA">
        <w:t xml:space="preserve"> to be implemented</w:t>
      </w:r>
      <w:r w:rsidRPr="00A519CA">
        <w:t>.</w:t>
      </w:r>
      <w:r w:rsidR="00103575" w:rsidRPr="00A519CA">
        <w:t xml:space="preserve"> </w:t>
      </w:r>
      <w:r w:rsidR="003E5858">
        <w:t xml:space="preserve">In its final decision to conclude a guarantee agreement with an implementing partner, the Commission will benefit from the opinion </w:t>
      </w:r>
      <w:r w:rsidR="00A90E0B">
        <w:t xml:space="preserve">of </w:t>
      </w:r>
      <w:r w:rsidR="003E5858">
        <w:t>the EIB</w:t>
      </w:r>
      <w:r w:rsidR="0035464D">
        <w:t xml:space="preserve"> related to banking related aspects</w:t>
      </w:r>
      <w:r w:rsidR="003E5858">
        <w:t xml:space="preserve">. </w:t>
      </w:r>
      <w:r w:rsidR="003E5858" w:rsidRPr="00A519CA">
        <w:t xml:space="preserve"> </w:t>
      </w:r>
      <w:r w:rsidRPr="00A519CA">
        <w:t xml:space="preserve"> </w:t>
      </w:r>
    </w:p>
    <w:p w14:paraId="4C18C806" w14:textId="42643510" w:rsidR="000A3904" w:rsidRDefault="006F5B2E" w:rsidP="00A519CA">
      <w:pPr>
        <w:pStyle w:val="ListParagraph"/>
        <w:numPr>
          <w:ilvl w:val="0"/>
          <w:numId w:val="9"/>
        </w:numPr>
        <w:spacing w:before="0"/>
        <w:ind w:left="714" w:hanging="357"/>
        <w:contextualSpacing w:val="0"/>
      </w:pPr>
      <w:r w:rsidRPr="00A519CA">
        <w:t xml:space="preserve">Further financial products may be designed during the life of </w:t>
      </w:r>
      <w:r w:rsidR="00F924F7">
        <w:t xml:space="preserve">the </w:t>
      </w:r>
      <w:r w:rsidRPr="00A519CA">
        <w:t>InvestEU Fund</w:t>
      </w:r>
      <w:r w:rsidR="00103575" w:rsidRPr="00A519CA">
        <w:t xml:space="preserve">. </w:t>
      </w:r>
      <w:r w:rsidR="00D53BEA" w:rsidRPr="00A519CA">
        <w:t xml:space="preserve">The advisory board may provide advice and the steering board </w:t>
      </w:r>
      <w:r w:rsidR="001A3BC2">
        <w:t xml:space="preserve">may </w:t>
      </w:r>
      <w:r w:rsidR="00D53BEA" w:rsidRPr="00A519CA">
        <w:t>give guidance on the design of financial products.</w:t>
      </w:r>
    </w:p>
    <w:p w14:paraId="13BDE8E5" w14:textId="6A7314C1" w:rsidR="00A519CA" w:rsidRDefault="00A519CA" w:rsidP="000A3904">
      <w:pPr>
        <w:spacing w:before="0" w:after="0"/>
        <w:jc w:val="left"/>
      </w:pPr>
    </w:p>
    <w:p w14:paraId="5BF02C91" w14:textId="77777777" w:rsidR="00D705C2" w:rsidRPr="00A519CA" w:rsidRDefault="00D705C2" w:rsidP="000A3904">
      <w:pPr>
        <w:spacing w:before="0" w:after="0"/>
        <w:jc w:val="left"/>
      </w:pPr>
    </w:p>
    <w:p w14:paraId="4AD91247" w14:textId="53239B7E" w:rsidR="00FE50A6" w:rsidRPr="00A519CA" w:rsidRDefault="006F5B2E" w:rsidP="00A519CA">
      <w:pPr>
        <w:pStyle w:val="ListParagraph"/>
        <w:numPr>
          <w:ilvl w:val="0"/>
          <w:numId w:val="12"/>
        </w:numPr>
        <w:spacing w:before="0"/>
        <w:rPr>
          <w:b/>
        </w:rPr>
      </w:pPr>
      <w:r w:rsidRPr="00A519CA">
        <w:rPr>
          <w:b/>
        </w:rPr>
        <w:lastRenderedPageBreak/>
        <w:t xml:space="preserve">Financing and/or investment operations: </w:t>
      </w:r>
      <w:r w:rsidR="002E2E49" w:rsidRPr="00A519CA">
        <w:rPr>
          <w:b/>
        </w:rPr>
        <w:t>A</w:t>
      </w:r>
      <w:r w:rsidR="00FE50A6" w:rsidRPr="00A519CA">
        <w:rPr>
          <w:b/>
        </w:rPr>
        <w:t xml:space="preserve">pproval </w:t>
      </w:r>
      <w:r w:rsidRPr="00A519CA">
        <w:rPr>
          <w:b/>
        </w:rPr>
        <w:t>of the support of the EU guarantee for</w:t>
      </w:r>
      <w:r w:rsidR="00FE50A6" w:rsidRPr="00A519CA">
        <w:rPr>
          <w:b/>
        </w:rPr>
        <w:t xml:space="preserve"> </w:t>
      </w:r>
      <w:r w:rsidR="00682BE7" w:rsidRPr="00A519CA">
        <w:rPr>
          <w:b/>
        </w:rPr>
        <w:t>individual</w:t>
      </w:r>
      <w:r w:rsidR="00FE50A6" w:rsidRPr="00A519CA">
        <w:rPr>
          <w:b/>
        </w:rPr>
        <w:t xml:space="preserve"> </w:t>
      </w:r>
      <w:r w:rsidRPr="00A519CA">
        <w:rPr>
          <w:b/>
        </w:rPr>
        <w:t xml:space="preserve">operations </w:t>
      </w:r>
      <w:r w:rsidR="00FE50A6" w:rsidRPr="00A519CA">
        <w:rPr>
          <w:b/>
        </w:rPr>
        <w:t>and framework operations</w:t>
      </w:r>
      <w:r w:rsidR="002E2E49" w:rsidRPr="00A519CA">
        <w:rPr>
          <w:b/>
        </w:rPr>
        <w:t xml:space="preserve"> by the Investment Committee</w:t>
      </w:r>
    </w:p>
    <w:p w14:paraId="4CE98A3F" w14:textId="77777777" w:rsidR="00B058C1" w:rsidRPr="00A519CA" w:rsidRDefault="00B058C1" w:rsidP="00A519CA">
      <w:pPr>
        <w:spacing w:before="0"/>
        <w:rPr>
          <w:b/>
        </w:rPr>
      </w:pPr>
    </w:p>
    <w:p w14:paraId="1FCABE09" w14:textId="1811128F" w:rsidR="00B058C1" w:rsidRPr="00A519CA" w:rsidRDefault="00B058C1" w:rsidP="00A519CA">
      <w:pPr>
        <w:pStyle w:val="ListParagraph"/>
        <w:numPr>
          <w:ilvl w:val="1"/>
          <w:numId w:val="12"/>
        </w:numPr>
        <w:spacing w:before="0"/>
        <w:rPr>
          <w:b/>
        </w:rPr>
      </w:pPr>
      <w:r w:rsidRPr="00A519CA">
        <w:rPr>
          <w:b/>
        </w:rPr>
        <w:t xml:space="preserve">Approval of </w:t>
      </w:r>
      <w:r w:rsidR="00682BE7" w:rsidRPr="00A519CA">
        <w:rPr>
          <w:b/>
        </w:rPr>
        <w:t>individual</w:t>
      </w:r>
      <w:r w:rsidRPr="00A519CA">
        <w:rPr>
          <w:b/>
        </w:rPr>
        <w:t xml:space="preserve"> operations to benefit from the support of the EU guarantee</w:t>
      </w:r>
    </w:p>
    <w:p w14:paraId="7A3F9B64" w14:textId="5B801FFD" w:rsidR="006F5B2E" w:rsidRPr="00A519CA" w:rsidRDefault="00E733AC" w:rsidP="00A519CA">
      <w:pPr>
        <w:keepNext/>
        <w:spacing w:before="0"/>
      </w:pPr>
      <w:r w:rsidRPr="00A519CA">
        <w:t xml:space="preserve">Once </w:t>
      </w:r>
      <w:r w:rsidR="009C70AE" w:rsidRPr="00A519CA">
        <w:t xml:space="preserve">the </w:t>
      </w:r>
      <w:r w:rsidRPr="00A519CA">
        <w:t xml:space="preserve">financial products are agreed between </w:t>
      </w:r>
      <w:r w:rsidR="000219B8" w:rsidRPr="00A519CA">
        <w:t>the Commission and</w:t>
      </w:r>
      <w:r w:rsidR="006F5B2E" w:rsidRPr="00A519CA">
        <w:t xml:space="preserve"> the</w:t>
      </w:r>
      <w:r w:rsidR="000219B8" w:rsidRPr="00A519CA">
        <w:t xml:space="preserve"> </w:t>
      </w:r>
      <w:r w:rsidR="00A22627" w:rsidRPr="00A519CA">
        <w:t>i</w:t>
      </w:r>
      <w:r w:rsidR="000219B8" w:rsidRPr="00A519CA">
        <w:t xml:space="preserve">mplementing </w:t>
      </w:r>
      <w:r w:rsidR="00A22627" w:rsidRPr="00A519CA">
        <w:t>p</w:t>
      </w:r>
      <w:r w:rsidR="00A51E1C" w:rsidRPr="00A519CA">
        <w:t>artners</w:t>
      </w:r>
      <w:r w:rsidR="006F5B2E" w:rsidRPr="00A519CA">
        <w:t xml:space="preserve"> in the guarantee agreements</w:t>
      </w:r>
      <w:r w:rsidR="00FA47ED" w:rsidRPr="00A519CA">
        <w:t>,</w:t>
      </w:r>
      <w:r w:rsidR="00A51E1C" w:rsidRPr="00A519CA">
        <w:t xml:space="preserve"> the </w:t>
      </w:r>
      <w:r w:rsidR="006F5B2E" w:rsidRPr="00A519CA">
        <w:t xml:space="preserve">support of the EU guarantee </w:t>
      </w:r>
      <w:r w:rsidR="001E055A" w:rsidRPr="00A519CA">
        <w:t>f</w:t>
      </w:r>
      <w:r w:rsidR="006F5B2E" w:rsidRPr="00A519CA">
        <w:t xml:space="preserve">or financing and/or investment </w:t>
      </w:r>
      <w:r w:rsidR="00A51E1C" w:rsidRPr="00A519CA">
        <w:t xml:space="preserve">operations </w:t>
      </w:r>
      <w:r w:rsidR="001E055A" w:rsidRPr="00A519CA">
        <w:t>falling under</w:t>
      </w:r>
      <w:r w:rsidR="00A51E1C" w:rsidRPr="00A519CA">
        <w:t xml:space="preserve"> these </w:t>
      </w:r>
      <w:r w:rsidR="002949E5">
        <w:t xml:space="preserve">financial </w:t>
      </w:r>
      <w:r w:rsidR="00A51E1C" w:rsidRPr="00A519CA">
        <w:t xml:space="preserve">products </w:t>
      </w:r>
      <w:r w:rsidR="000B16BD" w:rsidRPr="00A519CA">
        <w:t>will</w:t>
      </w:r>
      <w:r w:rsidR="00A51E1C" w:rsidRPr="00A519CA">
        <w:t xml:space="preserve"> be approved by the Investment Committee. </w:t>
      </w:r>
      <w:r w:rsidR="00B058C1" w:rsidRPr="00A519CA">
        <w:t xml:space="preserve">This applies both to the EU </w:t>
      </w:r>
      <w:r w:rsidR="009C70AE" w:rsidRPr="00A519CA">
        <w:t xml:space="preserve">compartment </w:t>
      </w:r>
      <w:r w:rsidR="00B058C1" w:rsidRPr="00A519CA">
        <w:t>and to the Member State compartment.</w:t>
      </w:r>
    </w:p>
    <w:p w14:paraId="274E931A" w14:textId="7C44E5BD" w:rsidR="004C727F" w:rsidRDefault="00A51E1C" w:rsidP="00A519CA">
      <w:pPr>
        <w:keepNext/>
        <w:spacing w:before="0"/>
      </w:pPr>
      <w:r w:rsidRPr="00A519CA">
        <w:t xml:space="preserve">Ahead of each </w:t>
      </w:r>
      <w:r w:rsidR="00DA1D36">
        <w:t>approval</w:t>
      </w:r>
      <w:r w:rsidRPr="00A519CA">
        <w:t xml:space="preserve"> </w:t>
      </w:r>
      <w:r w:rsidR="00DA1D36">
        <w:t xml:space="preserve">by </w:t>
      </w:r>
      <w:r w:rsidRPr="00A519CA">
        <w:t xml:space="preserve">the Investment Committee, the Commission will perform a policy </w:t>
      </w:r>
      <w:r w:rsidRPr="00DA1D36">
        <w:t>check</w:t>
      </w:r>
      <w:r w:rsidR="00DA1D36" w:rsidRPr="00DA1D36">
        <w:rPr>
          <w:bCs/>
          <w:color w:val="1F497D"/>
        </w:rPr>
        <w:t xml:space="preserve">, </w:t>
      </w:r>
      <w:r w:rsidR="00DA1D36" w:rsidRPr="0089788B">
        <w:rPr>
          <w:bCs/>
        </w:rPr>
        <w:t>or</w:t>
      </w:r>
      <w:r w:rsidR="00F924F7" w:rsidRPr="0089788B">
        <w:rPr>
          <w:bCs/>
        </w:rPr>
        <w:t>,</w:t>
      </w:r>
      <w:r w:rsidR="00DA1D36" w:rsidRPr="0089788B">
        <w:rPr>
          <w:bCs/>
        </w:rPr>
        <w:t xml:space="preserve"> in the case of EIB</w:t>
      </w:r>
      <w:r w:rsidR="00F924F7" w:rsidRPr="0089788B">
        <w:rPr>
          <w:bCs/>
        </w:rPr>
        <w:t>,</w:t>
      </w:r>
      <w:r w:rsidR="00DA1D36" w:rsidRPr="0089788B">
        <w:rPr>
          <w:bCs/>
        </w:rPr>
        <w:t xml:space="preserve"> issue an opinion in accordance with Article 19 of Protocol No 5,</w:t>
      </w:r>
      <w:r w:rsidR="00DA1D36" w:rsidRPr="0089788B">
        <w:t> </w:t>
      </w:r>
      <w:r w:rsidRPr="0089788B">
        <w:t xml:space="preserve">on each </w:t>
      </w:r>
      <w:r w:rsidR="006F5B2E" w:rsidRPr="0089788B">
        <w:t>proposal</w:t>
      </w:r>
      <w:r w:rsidR="009B7453" w:rsidRPr="0089788B">
        <w:t xml:space="preserve"> </w:t>
      </w:r>
      <w:r w:rsidR="009B7453" w:rsidRPr="00A519CA">
        <w:t>for a financing or investment operation</w:t>
      </w:r>
      <w:r w:rsidR="00B370F1">
        <w:t xml:space="preserve">. The aim is </w:t>
      </w:r>
      <w:r w:rsidRPr="00A519CA">
        <w:t xml:space="preserve">to ensure compliance of the </w:t>
      </w:r>
      <w:r w:rsidR="008D59A8">
        <w:t>operation</w:t>
      </w:r>
      <w:r w:rsidR="008D59A8" w:rsidRPr="00A519CA">
        <w:t xml:space="preserve"> </w:t>
      </w:r>
      <w:r w:rsidRPr="00A519CA">
        <w:t xml:space="preserve">with EU </w:t>
      </w:r>
      <w:r w:rsidR="006F5B2E" w:rsidRPr="00A519CA">
        <w:t>law</w:t>
      </w:r>
      <w:r w:rsidR="001E055A" w:rsidRPr="00A519CA">
        <w:t xml:space="preserve"> and consistency with EU</w:t>
      </w:r>
      <w:r w:rsidRPr="00A519CA">
        <w:t xml:space="preserve"> policy objectives</w:t>
      </w:r>
      <w:r w:rsidR="009C70AE" w:rsidRPr="00A519CA">
        <w:t xml:space="preserve"> in line with Article 18 of the InvestEU Regulation</w:t>
      </w:r>
      <w:r w:rsidRPr="00A519CA">
        <w:t>.</w:t>
      </w:r>
      <w:r w:rsidR="00FB417E" w:rsidRPr="00A519CA">
        <w:t xml:space="preserve"> The type of information to be provided for the purpose of the policy check </w:t>
      </w:r>
      <w:r w:rsidR="009B7453" w:rsidRPr="00A519CA">
        <w:t xml:space="preserve">will be set out in the guarantee agreement. </w:t>
      </w:r>
      <w:r w:rsidR="00073DE2">
        <w:t xml:space="preserve">Such information shall, </w:t>
      </w:r>
      <w:r w:rsidR="00073DE2" w:rsidRPr="00D1412E">
        <w:rPr>
          <w:i/>
        </w:rPr>
        <w:t>inter-alia</w:t>
      </w:r>
      <w:r w:rsidR="00073DE2">
        <w:t xml:space="preserve">, refer to the contribution of the proposal to the EU policy objectives as well as its impacts and benefits on climate, environmental and social </w:t>
      </w:r>
      <w:r w:rsidR="00073DE2" w:rsidRPr="00B370F1">
        <w:t>dimensions</w:t>
      </w:r>
      <w:r w:rsidR="00A90E0B">
        <w:t>,</w:t>
      </w:r>
      <w:r w:rsidR="002949E5" w:rsidRPr="00B370F1">
        <w:t xml:space="preserve"> </w:t>
      </w:r>
      <w:r w:rsidR="009135A2" w:rsidRPr="00B370F1">
        <w:t xml:space="preserve">as </w:t>
      </w:r>
      <w:r w:rsidR="002949E5" w:rsidRPr="00B370F1">
        <w:t>appropriate</w:t>
      </w:r>
      <w:r w:rsidR="00073DE2">
        <w:t>.</w:t>
      </w:r>
      <w:r w:rsidR="003E5858">
        <w:t xml:space="preserve"> </w:t>
      </w:r>
    </w:p>
    <w:p w14:paraId="1F220EA8" w14:textId="7D98A241" w:rsidR="00624DED" w:rsidRDefault="009B70DE" w:rsidP="00D1412E">
      <w:pPr>
        <w:keepNext/>
        <w:spacing w:before="0"/>
      </w:pPr>
      <w:r w:rsidRPr="00A519CA">
        <w:t xml:space="preserve">Individual financing </w:t>
      </w:r>
      <w:r w:rsidR="00F22E68">
        <w:t>and/</w:t>
      </w:r>
      <w:r w:rsidRPr="00A519CA">
        <w:t>or investment operations can be</w:t>
      </w:r>
      <w:r w:rsidR="00F22E68">
        <w:t xml:space="preserve"> provided directly to support standalone investment projects or promoters</w:t>
      </w:r>
      <w:r w:rsidR="00624DED">
        <w:t>,</w:t>
      </w:r>
      <w:r w:rsidR="00F22E68">
        <w:t xml:space="preserve"> or in intermediated form. For the former, </w:t>
      </w:r>
      <w:r w:rsidR="00AA7E61">
        <w:t xml:space="preserve">individual financing </w:t>
      </w:r>
      <w:r w:rsidR="00624DED">
        <w:t>and/</w:t>
      </w:r>
      <w:r w:rsidR="00AA7E61">
        <w:t>or investment operations can, for example,</w:t>
      </w:r>
      <w:r w:rsidR="008E4C16">
        <w:t xml:space="preserve"> take </w:t>
      </w:r>
      <w:r w:rsidR="00F924F7">
        <w:t xml:space="preserve">the </w:t>
      </w:r>
      <w:r w:rsidR="008E4C16">
        <w:t>form of</w:t>
      </w:r>
      <w:r w:rsidR="00AA7E61">
        <w:t xml:space="preserve"> </w:t>
      </w:r>
      <w:r w:rsidRPr="00A519CA">
        <w:t>standalone loans to investments projects</w:t>
      </w:r>
      <w:r w:rsidR="00AA7E61">
        <w:t>, equity investments in project entities or guarantee</w:t>
      </w:r>
      <w:r w:rsidR="00F22E68">
        <w:t>s to third parties investing in investment projects. For the latter, the financing and/or investment operations</w:t>
      </w:r>
      <w:r w:rsidR="00FA52BC">
        <w:t xml:space="preserve"> may </w:t>
      </w:r>
      <w:r w:rsidR="00624DED">
        <w:t>consist of an</w:t>
      </w:r>
      <w:r w:rsidR="00FA52BC">
        <w:t xml:space="preserve"> agreement between the implementing partner</w:t>
      </w:r>
      <w:r w:rsidR="00624DED">
        <w:t xml:space="preserve"> and a financial intermediary to support final recipients.</w:t>
      </w:r>
      <w:r w:rsidR="00BF0443">
        <w:t xml:space="preserve"> </w:t>
      </w:r>
    </w:p>
    <w:p w14:paraId="4AD119C4" w14:textId="77777777" w:rsidR="00B370F1" w:rsidRPr="00A519CA" w:rsidRDefault="00B370F1" w:rsidP="00A519CA">
      <w:pPr>
        <w:spacing w:before="0"/>
      </w:pPr>
    </w:p>
    <w:p w14:paraId="1754672E" w14:textId="2C9FDE0B" w:rsidR="00D72777" w:rsidRPr="00A519CA" w:rsidRDefault="007A0B46" w:rsidP="00A519CA">
      <w:pPr>
        <w:pStyle w:val="ListParagraph"/>
        <w:numPr>
          <w:ilvl w:val="1"/>
          <w:numId w:val="12"/>
        </w:numPr>
        <w:spacing w:before="0"/>
        <w:rPr>
          <w:b/>
        </w:rPr>
      </w:pPr>
      <w:r w:rsidRPr="00A519CA">
        <w:rPr>
          <w:b/>
        </w:rPr>
        <w:t>A</w:t>
      </w:r>
      <w:r w:rsidR="008B70D9" w:rsidRPr="00A519CA">
        <w:rPr>
          <w:b/>
        </w:rPr>
        <w:t>pproval of framework operations</w:t>
      </w:r>
      <w:r w:rsidRPr="00A519CA">
        <w:rPr>
          <w:b/>
        </w:rPr>
        <w:t xml:space="preserve"> to benefit from the support of the EU guarantee</w:t>
      </w:r>
    </w:p>
    <w:p w14:paraId="4E2ED1F1" w14:textId="4AC625EB" w:rsidR="00056188" w:rsidRPr="00A519CA" w:rsidRDefault="00056188" w:rsidP="00A519CA">
      <w:pPr>
        <w:spacing w:before="0"/>
      </w:pPr>
      <w:r w:rsidRPr="00A519CA">
        <w:t>Article 19(6)</w:t>
      </w:r>
      <w:r w:rsidR="007A0B46" w:rsidRPr="00A519CA">
        <w:t xml:space="preserve"> of the InvestEU Regulation</w:t>
      </w:r>
      <w:r w:rsidRPr="00A519CA">
        <w:t xml:space="preserve"> specifies that: “Where the Investment Committee is requested to approve the use of the EU guarantee for a financing or investment operation that is a facility, programme or structure which has underlying sub-projects, that approval shall comprise the underlying sub-projects, unless the Investment Committee decides to retain the right to approve them separately. If the approval concerns sub-projects of a size below EUR 3 000 000, the Investment Committee shall not retain this right.”</w:t>
      </w:r>
      <w:r w:rsidR="002949E5">
        <w:t xml:space="preserve"> </w:t>
      </w:r>
    </w:p>
    <w:p w14:paraId="35800D7E" w14:textId="300AB402" w:rsidR="00F22E68" w:rsidRDefault="008B70D9" w:rsidP="00A519CA">
      <w:pPr>
        <w:spacing w:before="0"/>
      </w:pPr>
      <w:r w:rsidRPr="00A519CA">
        <w:t xml:space="preserve">Implementing </w:t>
      </w:r>
      <w:r w:rsidR="000A3B69" w:rsidRPr="00A519CA">
        <w:t>p</w:t>
      </w:r>
      <w:r w:rsidRPr="00A519CA">
        <w:t>artner</w:t>
      </w:r>
      <w:r w:rsidR="00864C34" w:rsidRPr="00A519CA">
        <w:t>s may</w:t>
      </w:r>
      <w:r w:rsidR="003F4FAF">
        <w:t xml:space="preserve"> therefore</w:t>
      </w:r>
      <w:r w:rsidR="00864C34" w:rsidRPr="00A519CA">
        <w:t xml:space="preserve"> </w:t>
      </w:r>
      <w:r w:rsidRPr="00A519CA">
        <w:t>submit a guarantee request for a framework</w:t>
      </w:r>
      <w:r w:rsidR="007A0B46" w:rsidRPr="00A519CA">
        <w:t xml:space="preserve"> operation</w:t>
      </w:r>
      <w:r w:rsidRPr="00A519CA">
        <w:t xml:space="preserve"> encompassing several </w:t>
      </w:r>
      <w:r w:rsidR="007A0B46" w:rsidRPr="00A519CA">
        <w:t>sub-</w:t>
      </w:r>
      <w:r w:rsidR="005D559E">
        <w:t>projects,</w:t>
      </w:r>
      <w:r w:rsidR="00EA5EC5" w:rsidRPr="00A519CA">
        <w:t xml:space="preserve"> </w:t>
      </w:r>
      <w:r w:rsidR="00CB5C24">
        <w:t>provided</w:t>
      </w:r>
      <w:r w:rsidR="00EA5EC5" w:rsidRPr="00A519CA">
        <w:t xml:space="preserve"> t</w:t>
      </w:r>
      <w:r w:rsidR="005D559E">
        <w:t>he underlying sub-projects</w:t>
      </w:r>
      <w:r w:rsidR="00EA5EC5" w:rsidRPr="00A519CA">
        <w:t xml:space="preserve"> have</w:t>
      </w:r>
      <w:r w:rsidR="00FA47ED" w:rsidRPr="00A519CA">
        <w:rPr>
          <w:b/>
        </w:rPr>
        <w:t xml:space="preserve"> </w:t>
      </w:r>
      <w:r w:rsidR="003345AE" w:rsidRPr="00A519CA">
        <w:rPr>
          <w:b/>
        </w:rPr>
        <w:t xml:space="preserve">strong </w:t>
      </w:r>
      <w:r w:rsidR="00FA47ED" w:rsidRPr="00A519CA">
        <w:rPr>
          <w:b/>
        </w:rPr>
        <w:t>feature</w:t>
      </w:r>
      <w:r w:rsidR="00EA5EC5" w:rsidRPr="00A519CA">
        <w:rPr>
          <w:b/>
        </w:rPr>
        <w:t>s</w:t>
      </w:r>
      <w:r w:rsidR="00FA47ED" w:rsidRPr="00A519CA">
        <w:rPr>
          <w:b/>
        </w:rPr>
        <w:t xml:space="preserve"> of commonality</w:t>
      </w:r>
      <w:r w:rsidR="003345AE" w:rsidRPr="00A519CA">
        <w:rPr>
          <w:b/>
        </w:rPr>
        <w:t>/uniformity</w:t>
      </w:r>
      <w:r w:rsidR="00EA5EC5" w:rsidRPr="00A519CA">
        <w:rPr>
          <w:b/>
        </w:rPr>
        <w:t xml:space="preserve"> </w:t>
      </w:r>
      <w:r w:rsidR="00EA5EC5" w:rsidRPr="00A519CA">
        <w:t>so that the policy check by the Commission and the assessment by the Investment Committee are possible and meaningful.</w:t>
      </w:r>
      <w:r w:rsidRPr="00A519CA">
        <w:t xml:space="preserve"> </w:t>
      </w:r>
      <w:r w:rsidR="00260FAA" w:rsidRPr="00A519CA">
        <w:t xml:space="preserve">Under </w:t>
      </w:r>
      <w:r w:rsidR="007A0B46" w:rsidRPr="00A519CA">
        <w:t>a</w:t>
      </w:r>
      <w:r w:rsidR="00260FAA" w:rsidRPr="00A519CA">
        <w:t xml:space="preserve"> framework operation, the </w:t>
      </w:r>
      <w:r w:rsidR="000A3B69" w:rsidRPr="00A519CA">
        <w:t>i</w:t>
      </w:r>
      <w:r w:rsidR="00260FAA" w:rsidRPr="00A519CA">
        <w:t xml:space="preserve">mplementing </w:t>
      </w:r>
      <w:r w:rsidR="000A3B69" w:rsidRPr="00A519CA">
        <w:t>p</w:t>
      </w:r>
      <w:r w:rsidR="00260FAA" w:rsidRPr="00A519CA">
        <w:t xml:space="preserve">artner </w:t>
      </w:r>
      <w:r w:rsidR="00EA5EC5" w:rsidRPr="00A519CA">
        <w:t xml:space="preserve">may </w:t>
      </w:r>
      <w:r w:rsidR="00260FAA" w:rsidRPr="00A519CA">
        <w:t>provide</w:t>
      </w:r>
      <w:r w:rsidR="003E5858">
        <w:t xml:space="preserve"> </w:t>
      </w:r>
      <w:r w:rsidR="00260FAA" w:rsidRPr="00A519CA">
        <w:t>financing for (i) a series of individual investment</w:t>
      </w:r>
      <w:r w:rsidR="004423BF" w:rsidRPr="00A519CA">
        <w:t xml:space="preserve">s </w:t>
      </w:r>
      <w:r w:rsidR="00B200DE" w:rsidRPr="00A519CA">
        <w:t xml:space="preserve">(sub-projects) </w:t>
      </w:r>
      <w:r w:rsidR="004423BF" w:rsidRPr="00A519CA">
        <w:t xml:space="preserve">by one </w:t>
      </w:r>
      <w:r w:rsidR="00B200DE" w:rsidRPr="00A519CA">
        <w:t>defined final recipient</w:t>
      </w:r>
      <w:r w:rsidR="00EA5EC5" w:rsidRPr="00A519CA">
        <w:rPr>
          <w:rStyle w:val="FootnoteReference"/>
        </w:rPr>
        <w:footnoteReference w:id="5"/>
      </w:r>
      <w:r w:rsidR="00260FAA" w:rsidRPr="00A519CA">
        <w:t xml:space="preserve">; (ii) intermediated </w:t>
      </w:r>
      <w:r w:rsidR="003F4FAF">
        <w:t xml:space="preserve">or direct </w:t>
      </w:r>
      <w:r w:rsidR="003F4FAF" w:rsidRPr="00A519CA">
        <w:t>financ</w:t>
      </w:r>
      <w:r w:rsidR="003F4FAF">
        <w:t>ing</w:t>
      </w:r>
      <w:r w:rsidR="003F4FAF" w:rsidRPr="00A519CA">
        <w:t xml:space="preserve"> </w:t>
      </w:r>
      <w:r w:rsidR="00260FAA" w:rsidRPr="00A519CA">
        <w:t xml:space="preserve">to multiple borrowers (public or private) which are being grouped together under </w:t>
      </w:r>
      <w:r w:rsidR="00260FAA" w:rsidRPr="00A519CA">
        <w:lastRenderedPageBreak/>
        <w:t xml:space="preserve">the given commonality (such as </w:t>
      </w:r>
      <w:r w:rsidR="0082354F">
        <w:t xml:space="preserve">a specific </w:t>
      </w:r>
      <w:r w:rsidR="00F85D47">
        <w:t xml:space="preserve">sector, target group of </w:t>
      </w:r>
      <w:r w:rsidR="0082354F">
        <w:t>final recipients</w:t>
      </w:r>
      <w:r w:rsidR="00F22E68">
        <w:t xml:space="preserve"> under a specific geography</w:t>
      </w:r>
      <w:r w:rsidR="00260FAA" w:rsidRPr="00A519CA">
        <w:t xml:space="preserve">, </w:t>
      </w:r>
      <w:r w:rsidR="0001078C">
        <w:t xml:space="preserve"> </w:t>
      </w:r>
      <w:r w:rsidR="00260FAA" w:rsidRPr="00A519CA">
        <w:t>etc.)</w:t>
      </w:r>
      <w:r w:rsidR="003E5858">
        <w:t xml:space="preserve"> or iii) investment platforms</w:t>
      </w:r>
      <w:r w:rsidR="00260FAA" w:rsidRPr="00A519CA">
        <w:t xml:space="preserve">. </w:t>
      </w:r>
    </w:p>
    <w:p w14:paraId="0C10D61D" w14:textId="0050CC7D" w:rsidR="008B70D9" w:rsidRPr="00A519CA" w:rsidRDefault="00B370F1" w:rsidP="00A519CA">
      <w:pPr>
        <w:spacing w:before="0"/>
      </w:pPr>
      <w:r>
        <w:t>T</w:t>
      </w:r>
      <w:r w:rsidR="008B70D9" w:rsidRPr="00A519CA">
        <w:t xml:space="preserve">he terms and conditions of such framework operations </w:t>
      </w:r>
      <w:r w:rsidR="00864C34" w:rsidRPr="00A519CA">
        <w:t>must</w:t>
      </w:r>
      <w:r w:rsidR="008B70D9" w:rsidRPr="00A519CA">
        <w:t xml:space="preserve"> be detailed </w:t>
      </w:r>
      <w:r w:rsidR="00EA5EC5" w:rsidRPr="00A519CA">
        <w:t>for the policy check</w:t>
      </w:r>
      <w:r w:rsidR="00D2307B">
        <w:t>/</w:t>
      </w:r>
      <w:r w:rsidR="00066013">
        <w:t>A</w:t>
      </w:r>
      <w:r w:rsidR="00D2307B">
        <w:t>rticle 19 procedure</w:t>
      </w:r>
      <w:r w:rsidR="00EA5EC5" w:rsidRPr="00A519CA">
        <w:t xml:space="preserve"> by the Commission and for the</w:t>
      </w:r>
      <w:r w:rsidR="008B70D9" w:rsidRPr="00A519CA">
        <w:t xml:space="preserve"> approval</w:t>
      </w:r>
      <w:r w:rsidR="00595AFE">
        <w:t xml:space="preserve"> of the use of the EU guarantee</w:t>
      </w:r>
      <w:r w:rsidR="008B70D9" w:rsidRPr="00A519CA">
        <w:t xml:space="preserve"> by the Investment Committee and include</w:t>
      </w:r>
      <w:r w:rsidR="00595AFE">
        <w:t xml:space="preserve">, </w:t>
      </w:r>
      <w:r w:rsidR="00595AFE">
        <w:rPr>
          <w:i/>
        </w:rPr>
        <w:t>inter alia</w:t>
      </w:r>
      <w:r w:rsidR="00595AFE">
        <w:t xml:space="preserve">, </w:t>
      </w:r>
      <w:r w:rsidR="008B70D9" w:rsidRPr="00A519CA">
        <w:t xml:space="preserve"> the following</w:t>
      </w:r>
      <w:r w:rsidR="003F4FAF">
        <w:t xml:space="preserve">, </w:t>
      </w:r>
      <w:r w:rsidR="00C1498D">
        <w:t>as applicable</w:t>
      </w:r>
      <w:r w:rsidR="008B70D9" w:rsidRPr="00A519CA">
        <w:t>:</w:t>
      </w:r>
    </w:p>
    <w:p w14:paraId="7CF2C297" w14:textId="77777777" w:rsidR="008B70D9" w:rsidRPr="00A519CA" w:rsidRDefault="008B70D9" w:rsidP="00F862BB">
      <w:pPr>
        <w:pStyle w:val="ListParagraph"/>
        <w:numPr>
          <w:ilvl w:val="0"/>
          <w:numId w:val="14"/>
        </w:numPr>
        <w:spacing w:before="0"/>
      </w:pPr>
      <w:r w:rsidRPr="00A519CA">
        <w:t>Policy objectives of the framework</w:t>
      </w:r>
      <w:r w:rsidR="00864C34" w:rsidRPr="00A519CA">
        <w:t>;</w:t>
      </w:r>
    </w:p>
    <w:p w14:paraId="08201392" w14:textId="21FD680A" w:rsidR="008B70D9" w:rsidRPr="00A519CA" w:rsidRDefault="00732DF1" w:rsidP="00F862BB">
      <w:pPr>
        <w:pStyle w:val="ListParagraph"/>
        <w:numPr>
          <w:ilvl w:val="0"/>
          <w:numId w:val="14"/>
        </w:numPr>
        <w:spacing w:before="0"/>
      </w:pPr>
      <w:r w:rsidRPr="00A519CA">
        <w:t>Type(s) of financing</w:t>
      </w:r>
      <w:r w:rsidR="008B70D9" w:rsidRPr="00A519CA">
        <w:t xml:space="preserve"> </w:t>
      </w:r>
      <w:r w:rsidR="00B235A4" w:rsidRPr="00A519CA">
        <w:t xml:space="preserve">to be </w:t>
      </w:r>
      <w:r w:rsidR="00CF537C" w:rsidRPr="00A519CA">
        <w:t>deployed</w:t>
      </w:r>
      <w:r w:rsidR="00B235A4" w:rsidRPr="00A519CA">
        <w:t xml:space="preserve"> </w:t>
      </w:r>
      <w:r w:rsidR="008B70D9" w:rsidRPr="00A519CA">
        <w:t xml:space="preserve">by the </w:t>
      </w:r>
      <w:r w:rsidR="000A3B69" w:rsidRPr="00A519CA">
        <w:t>i</w:t>
      </w:r>
      <w:r w:rsidR="008B70D9" w:rsidRPr="00A519CA">
        <w:t xml:space="preserve">mplementing </w:t>
      </w:r>
      <w:r w:rsidR="000A3B69" w:rsidRPr="00A519CA">
        <w:t>p</w:t>
      </w:r>
      <w:r w:rsidR="008B70D9" w:rsidRPr="00A519CA">
        <w:t>artner under the framework</w:t>
      </w:r>
      <w:r w:rsidR="00B235A4" w:rsidRPr="00A519CA">
        <w:t xml:space="preserve">, in line with the </w:t>
      </w:r>
      <w:r w:rsidR="00D72777" w:rsidRPr="00A519CA">
        <w:t xml:space="preserve">financial </w:t>
      </w:r>
      <w:r w:rsidR="00B235A4" w:rsidRPr="00A519CA">
        <w:t xml:space="preserve">product </w:t>
      </w:r>
      <w:r w:rsidR="00A90E0B">
        <w:t>fiches</w:t>
      </w:r>
      <w:r w:rsidR="00B235A4" w:rsidRPr="00A519CA">
        <w:t xml:space="preserve"> attached to the guarantee agreement</w:t>
      </w:r>
      <w:r w:rsidR="00864C34" w:rsidRPr="00A519CA">
        <w:t>;</w:t>
      </w:r>
    </w:p>
    <w:p w14:paraId="519B6D21" w14:textId="01B347C2" w:rsidR="008B70D9" w:rsidRDefault="00864C34" w:rsidP="00F862BB">
      <w:pPr>
        <w:pStyle w:val="ListParagraph"/>
        <w:numPr>
          <w:ilvl w:val="0"/>
          <w:numId w:val="14"/>
        </w:numPr>
        <w:spacing w:before="0"/>
      </w:pPr>
      <w:r w:rsidRPr="00A519CA">
        <w:t>A</w:t>
      </w:r>
      <w:r w:rsidR="008B70D9" w:rsidRPr="00A519CA">
        <w:t xml:space="preserve">n overview of the sub-projects and/or </w:t>
      </w:r>
      <w:r w:rsidR="00B863CF" w:rsidRPr="00A519CA">
        <w:t xml:space="preserve">final </w:t>
      </w:r>
      <w:r w:rsidR="007A0B46" w:rsidRPr="00A519CA">
        <w:t>recipients</w:t>
      </w:r>
      <w:r w:rsidR="008B70D9" w:rsidRPr="00A519CA">
        <w:t xml:space="preserve"> targeted by the framework. In the case of SME financing, a detailed description of the SME segment</w:t>
      </w:r>
      <w:r w:rsidR="0001078C">
        <w:t>s</w:t>
      </w:r>
      <w:r w:rsidR="008B70D9" w:rsidRPr="00A519CA">
        <w:t xml:space="preserve"> targeted by the framework </w:t>
      </w:r>
      <w:r w:rsidR="00E3764E" w:rsidRPr="00A519CA">
        <w:t xml:space="preserve">must </w:t>
      </w:r>
      <w:r w:rsidR="008B70D9" w:rsidRPr="00A519CA">
        <w:t>be provided</w:t>
      </w:r>
      <w:r w:rsidR="00073DE2">
        <w:t>;</w:t>
      </w:r>
    </w:p>
    <w:p w14:paraId="532EF610" w14:textId="527C60FC" w:rsidR="00073DE2" w:rsidRPr="00A519CA" w:rsidRDefault="00073DE2" w:rsidP="00F862BB">
      <w:pPr>
        <w:pStyle w:val="ListParagraph"/>
        <w:numPr>
          <w:ilvl w:val="0"/>
          <w:numId w:val="14"/>
        </w:numPr>
        <w:spacing w:before="0"/>
      </w:pPr>
      <w:r>
        <w:t xml:space="preserve">Information on the contribution of the framework operation to the EU policy objectives as well as </w:t>
      </w:r>
      <w:r w:rsidR="00595AFE">
        <w:t>its</w:t>
      </w:r>
      <w:r>
        <w:t xml:space="preserve"> impacts on climate, environmental and social dimensions.</w:t>
      </w:r>
    </w:p>
    <w:p w14:paraId="3FFA0A3D" w14:textId="14FD12B6" w:rsidR="00E94DF7" w:rsidRDefault="005D559E" w:rsidP="00A519CA">
      <w:pPr>
        <w:spacing w:before="0"/>
      </w:pPr>
      <w:r>
        <w:t>T</w:t>
      </w:r>
      <w:r w:rsidR="0022483A" w:rsidRPr="00A519CA">
        <w:t xml:space="preserve">he </w:t>
      </w:r>
      <w:r w:rsidR="009135A2">
        <w:t xml:space="preserve">possibility for and </w:t>
      </w:r>
      <w:r w:rsidR="0022483A" w:rsidRPr="00A519CA">
        <w:t>detailed provisions applying to framework operations as regards the approval of the support of the EU guarantee will be laid down in the guarantee agreements, without prejudice to the discretion by the Investment Committee. In this context the size of the framework and the sub-projects, in addition to the commonality/uniformity features will be taken into account.</w:t>
      </w:r>
    </w:p>
    <w:p w14:paraId="73EB82B8" w14:textId="118D1A5B" w:rsidR="00A90E0B" w:rsidRDefault="00A90E0B" w:rsidP="00A90E0B">
      <w:pPr>
        <w:spacing w:before="0"/>
      </w:pPr>
      <w:r w:rsidRPr="00C1498D">
        <w:t>The procedures governing the approval of financing and/or investment operations will be explained in a separate document.</w:t>
      </w:r>
    </w:p>
    <w:p w14:paraId="79FAB2C7" w14:textId="0747B446" w:rsidR="001D18AC" w:rsidRPr="00394622" w:rsidRDefault="001D18AC" w:rsidP="00A519CA">
      <w:pPr>
        <w:spacing w:before="0"/>
      </w:pPr>
    </w:p>
    <w:sectPr w:rsidR="001D18AC" w:rsidRPr="0039462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D2F4" w14:textId="77777777" w:rsidR="009A4935" w:rsidRDefault="009A4935" w:rsidP="00B750F1">
      <w:pPr>
        <w:spacing w:before="0" w:after="0"/>
      </w:pPr>
      <w:r>
        <w:separator/>
      </w:r>
    </w:p>
  </w:endnote>
  <w:endnote w:type="continuationSeparator" w:id="0">
    <w:p w14:paraId="7A6BD603" w14:textId="77777777" w:rsidR="009A4935" w:rsidRDefault="009A4935" w:rsidP="00B750F1">
      <w:pPr>
        <w:spacing w:before="0" w:after="0"/>
      </w:pPr>
      <w:r>
        <w:continuationSeparator/>
      </w:r>
    </w:p>
  </w:endnote>
  <w:endnote w:type="continuationNotice" w:id="1">
    <w:p w14:paraId="55148C37" w14:textId="77777777" w:rsidR="009A4935" w:rsidRDefault="009A49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6760"/>
      <w:docPartObj>
        <w:docPartGallery w:val="Page Numbers (Bottom of Page)"/>
        <w:docPartUnique/>
      </w:docPartObj>
    </w:sdtPr>
    <w:sdtEndPr>
      <w:rPr>
        <w:noProof/>
      </w:rPr>
    </w:sdtEndPr>
    <w:sdtContent>
      <w:p w14:paraId="1FCEB8A5" w14:textId="7224FBD7" w:rsidR="00CF537C" w:rsidRDefault="00CF537C">
        <w:pPr>
          <w:pStyle w:val="Footer"/>
          <w:jc w:val="center"/>
        </w:pPr>
        <w:r>
          <w:fldChar w:fldCharType="begin"/>
        </w:r>
        <w:r>
          <w:instrText xml:space="preserve"> PAGE   \* MERGEFORMAT </w:instrText>
        </w:r>
        <w:r>
          <w:fldChar w:fldCharType="separate"/>
        </w:r>
        <w:r w:rsidR="00AC6F21">
          <w:rPr>
            <w:noProof/>
          </w:rPr>
          <w:t>1</w:t>
        </w:r>
        <w:r>
          <w:rPr>
            <w:noProof/>
          </w:rPr>
          <w:fldChar w:fldCharType="end"/>
        </w:r>
      </w:p>
    </w:sdtContent>
  </w:sdt>
  <w:p w14:paraId="588E4B43" w14:textId="77777777" w:rsidR="00CF537C" w:rsidRDefault="00CF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D8C3" w14:textId="77777777" w:rsidR="009A4935" w:rsidRDefault="009A4935" w:rsidP="00B750F1">
      <w:pPr>
        <w:spacing w:before="0" w:after="0"/>
      </w:pPr>
      <w:r>
        <w:separator/>
      </w:r>
    </w:p>
  </w:footnote>
  <w:footnote w:type="continuationSeparator" w:id="0">
    <w:p w14:paraId="6D1C98FC" w14:textId="77777777" w:rsidR="009A4935" w:rsidRDefault="009A4935" w:rsidP="00B750F1">
      <w:pPr>
        <w:spacing w:before="0" w:after="0"/>
      </w:pPr>
      <w:r>
        <w:continuationSeparator/>
      </w:r>
    </w:p>
  </w:footnote>
  <w:footnote w:type="continuationNotice" w:id="1">
    <w:p w14:paraId="356004B0" w14:textId="77777777" w:rsidR="009A4935" w:rsidRDefault="009A4935">
      <w:pPr>
        <w:spacing w:before="0" w:after="0"/>
      </w:pPr>
    </w:p>
  </w:footnote>
  <w:footnote w:id="2">
    <w:p w14:paraId="6F5953BC" w14:textId="7DD8CCFD" w:rsidR="00F924F7" w:rsidRPr="00F924F7" w:rsidRDefault="00F924F7">
      <w:pPr>
        <w:pStyle w:val="FootnoteText"/>
      </w:pPr>
      <w:r>
        <w:rPr>
          <w:rStyle w:val="FootnoteReference"/>
        </w:rPr>
        <w:footnoteRef/>
      </w:r>
      <w:r>
        <w:t xml:space="preserve"> </w:t>
      </w:r>
      <w:r>
        <w:tab/>
        <w:t>This paper is based on the version of the InvestEU Regulation partially agreed in April by the European Parliament and the Council and may be subject to change.</w:t>
      </w:r>
    </w:p>
  </w:footnote>
  <w:footnote w:id="3">
    <w:p w14:paraId="2A94FE14" w14:textId="6D82B8E8" w:rsidR="00B750F1" w:rsidRPr="00B750F1" w:rsidRDefault="00B750F1">
      <w:pPr>
        <w:pStyle w:val="FootnoteText"/>
      </w:pPr>
      <w:r>
        <w:rPr>
          <w:rStyle w:val="FootnoteReference"/>
        </w:rPr>
        <w:footnoteRef/>
      </w:r>
      <w:r>
        <w:t xml:space="preserve"> </w:t>
      </w:r>
      <w:r w:rsidR="00523CA9">
        <w:tab/>
      </w:r>
      <w:r w:rsidR="000457BB">
        <w:t>Financial products can be</w:t>
      </w:r>
      <w:r w:rsidR="005612D6">
        <w:t xml:space="preserve"> discussed</w:t>
      </w:r>
      <w:r w:rsidR="00F8112D">
        <w:t xml:space="preserve"> with entities that have notified the Commission of their intention to become implementing partners under InvestEU.</w:t>
      </w:r>
      <w:r w:rsidR="00E77F41">
        <w:t xml:space="preserve"> </w:t>
      </w:r>
      <w:r w:rsidR="0065390C" w:rsidRPr="00BA21B8">
        <w:t xml:space="preserve">This collaborative process can take place </w:t>
      </w:r>
      <w:r w:rsidR="0065390C">
        <w:t xml:space="preserve">before the </w:t>
      </w:r>
      <w:r w:rsidR="0065390C" w:rsidRPr="00B750F1">
        <w:t>pote</w:t>
      </w:r>
      <w:r w:rsidR="0065390C">
        <w:t xml:space="preserve">ntial implementing partners have completed the pillar assessment process. </w:t>
      </w:r>
      <w:r w:rsidR="00E77F41">
        <w:t xml:space="preserve">The term implementing partner in this paper is to be understood to encompass potential implementing partners, as appropriate. </w:t>
      </w:r>
    </w:p>
  </w:footnote>
  <w:footnote w:id="4">
    <w:p w14:paraId="50C1D6D4" w14:textId="47E0298C" w:rsidR="00DD1038" w:rsidRPr="009D1D87" w:rsidRDefault="00DD1038" w:rsidP="00DD1038">
      <w:pPr>
        <w:pStyle w:val="FootnoteText"/>
      </w:pPr>
      <w:r>
        <w:rPr>
          <w:rStyle w:val="FootnoteReference"/>
        </w:rPr>
        <w:footnoteRef/>
      </w:r>
      <w:r>
        <w:t xml:space="preserve"> </w:t>
      </w:r>
      <w:r w:rsidR="00A90E0B">
        <w:tab/>
      </w:r>
      <w:r w:rsidRPr="009D1D87">
        <w:t xml:space="preserve">The </w:t>
      </w:r>
      <w:r>
        <w:t xml:space="preserve">process can consist of </w:t>
      </w:r>
      <w:r w:rsidRPr="009D1D87">
        <w:t xml:space="preserve">bilateral </w:t>
      </w:r>
      <w:r>
        <w:t>and/</w:t>
      </w:r>
      <w:r w:rsidRPr="009D1D87">
        <w:t xml:space="preserve">or </w:t>
      </w:r>
      <w:r>
        <w:t>multilateral discussions between the Commission and  implementing partners</w:t>
      </w:r>
      <w:r w:rsidRPr="009D1D87">
        <w:t>.</w:t>
      </w:r>
    </w:p>
  </w:footnote>
  <w:footnote w:id="5">
    <w:p w14:paraId="1A7D1707" w14:textId="797EA7D9" w:rsidR="00EA5EC5" w:rsidRPr="00D53BEA" w:rsidRDefault="00EA5EC5">
      <w:pPr>
        <w:pStyle w:val="FootnoteText"/>
        <w:rPr>
          <w:lang w:val="en-IE"/>
        </w:rPr>
      </w:pPr>
      <w:r w:rsidRPr="00CE2272">
        <w:rPr>
          <w:rStyle w:val="FootnoteReference"/>
        </w:rPr>
        <w:footnoteRef/>
      </w:r>
      <w:r w:rsidRPr="00CE2272">
        <w:t xml:space="preserve"> </w:t>
      </w:r>
      <w:r w:rsidR="00A90E0B">
        <w:tab/>
      </w:r>
      <w:r w:rsidRPr="00CE2272">
        <w:rPr>
          <w:lang w:val="en-IE"/>
        </w:rPr>
        <w:t>For example a municipality</w:t>
      </w:r>
      <w:r w:rsidR="00B200DE" w:rsidRPr="00CE2272">
        <w:rPr>
          <w:lang w:val="en-IE"/>
        </w:rPr>
        <w:t xml:space="preserve"> for renovating or building schools or hospitals.</w:t>
      </w:r>
      <w:r w:rsidR="008D59A8">
        <w:rPr>
          <w:lang w:val="en-IE"/>
        </w:rPr>
        <w:t xml:space="preserve"> However, sub-projects include</w:t>
      </w:r>
      <w:r w:rsidR="00A90E0B">
        <w:rPr>
          <w:lang w:val="en-IE"/>
        </w:rPr>
        <w:t>d</w:t>
      </w:r>
      <w:r w:rsidR="008D59A8">
        <w:rPr>
          <w:lang w:val="en-IE"/>
        </w:rPr>
        <w:t xml:space="preserve"> in a </w:t>
      </w:r>
      <w:r w:rsidR="00966059">
        <w:rPr>
          <w:lang w:val="en-IE"/>
        </w:rPr>
        <w:t>large-scale</w:t>
      </w:r>
      <w:r w:rsidR="008D59A8">
        <w:rPr>
          <w:lang w:val="en-IE"/>
        </w:rPr>
        <w:t xml:space="preserve"> framework programme for a municipal</w:t>
      </w:r>
      <w:r w:rsidR="00A90E0B">
        <w:rPr>
          <w:lang w:val="en-IE"/>
        </w:rPr>
        <w:t>ity</w:t>
      </w:r>
      <w:r w:rsidR="008D59A8">
        <w:rPr>
          <w:lang w:val="en-IE"/>
        </w:rPr>
        <w:t xml:space="preserve"> covering investments in various sectors would not have the features of commonality/uniformity.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56E"/>
    <w:multiLevelType w:val="hybridMultilevel"/>
    <w:tmpl w:val="A53E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5019"/>
    <w:multiLevelType w:val="hybridMultilevel"/>
    <w:tmpl w:val="0BB8E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050593"/>
    <w:multiLevelType w:val="hybridMultilevel"/>
    <w:tmpl w:val="EF60D196"/>
    <w:lvl w:ilvl="0" w:tplc="141008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7614F"/>
    <w:multiLevelType w:val="hybridMultilevel"/>
    <w:tmpl w:val="9118E0E4"/>
    <w:lvl w:ilvl="0" w:tplc="6DE0B7E6">
      <w:start w:val="1"/>
      <w:numFmt w:val="decimal"/>
      <w:lvlText w:val="(%1)"/>
      <w:lvlJc w:val="righ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E1137"/>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25F032AD"/>
    <w:multiLevelType w:val="hybridMultilevel"/>
    <w:tmpl w:val="C34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8620B"/>
    <w:multiLevelType w:val="hybridMultilevel"/>
    <w:tmpl w:val="BFEEAAE2"/>
    <w:lvl w:ilvl="0" w:tplc="53FEAB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13EAD"/>
    <w:multiLevelType w:val="hybridMultilevel"/>
    <w:tmpl w:val="8B3CF7F4"/>
    <w:lvl w:ilvl="0" w:tplc="03506434">
      <w:start w:val="1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230F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F65010"/>
    <w:multiLevelType w:val="hybridMultilevel"/>
    <w:tmpl w:val="8938B490"/>
    <w:lvl w:ilvl="0" w:tplc="E418104C">
      <w:start w:val="1"/>
      <w:numFmt w:val="decimal"/>
      <w:lvlText w:val="%1."/>
      <w:lvlJc w:val="left"/>
      <w:pPr>
        <w:ind w:left="1080" w:hanging="72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22F0E"/>
    <w:multiLevelType w:val="hybridMultilevel"/>
    <w:tmpl w:val="EED04EE0"/>
    <w:lvl w:ilvl="0" w:tplc="FCBE9DA2">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B74B4"/>
    <w:multiLevelType w:val="multilevel"/>
    <w:tmpl w:val="E67CE90A"/>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A0E3574"/>
    <w:multiLevelType w:val="hybridMultilevel"/>
    <w:tmpl w:val="BA30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4"/>
  </w:num>
  <w:num w:numId="6">
    <w:abstractNumId w:val="7"/>
  </w:num>
  <w:num w:numId="7">
    <w:abstractNumId w:val="9"/>
  </w:num>
  <w:num w:numId="8">
    <w:abstractNumId w:val="6"/>
  </w:num>
  <w:num w:numId="9">
    <w:abstractNumId w:val="3"/>
  </w:num>
  <w:num w:numId="10">
    <w:abstractNumId w:val="5"/>
  </w:num>
  <w:num w:numId="11">
    <w:abstractNumId w:val="12"/>
  </w:num>
  <w:num w:numId="12">
    <w:abstractNumId w:val="8"/>
  </w:num>
  <w:num w:numId="13">
    <w:abstractNumId w:val="1"/>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70D9"/>
    <w:rsid w:val="00002801"/>
    <w:rsid w:val="0001078C"/>
    <w:rsid w:val="000114A1"/>
    <w:rsid w:val="00011AD9"/>
    <w:rsid w:val="000174F0"/>
    <w:rsid w:val="000219B8"/>
    <w:rsid w:val="00026D52"/>
    <w:rsid w:val="000348B4"/>
    <w:rsid w:val="0003551D"/>
    <w:rsid w:val="00042070"/>
    <w:rsid w:val="0004404C"/>
    <w:rsid w:val="000452A7"/>
    <w:rsid w:val="000457BB"/>
    <w:rsid w:val="00047BBB"/>
    <w:rsid w:val="00056188"/>
    <w:rsid w:val="00057AB0"/>
    <w:rsid w:val="00062AEA"/>
    <w:rsid w:val="00063BDA"/>
    <w:rsid w:val="00066013"/>
    <w:rsid w:val="000662BA"/>
    <w:rsid w:val="00071154"/>
    <w:rsid w:val="00073DE2"/>
    <w:rsid w:val="00075031"/>
    <w:rsid w:val="00081E0D"/>
    <w:rsid w:val="00082B59"/>
    <w:rsid w:val="00097A04"/>
    <w:rsid w:val="000A004D"/>
    <w:rsid w:val="000A3904"/>
    <w:rsid w:val="000A3B69"/>
    <w:rsid w:val="000A4FDC"/>
    <w:rsid w:val="000A55BB"/>
    <w:rsid w:val="000A680D"/>
    <w:rsid w:val="000A7D5B"/>
    <w:rsid w:val="000B16BD"/>
    <w:rsid w:val="000C5CA4"/>
    <w:rsid w:val="000D582F"/>
    <w:rsid w:val="000D6034"/>
    <w:rsid w:val="000E3462"/>
    <w:rsid w:val="000E4FEE"/>
    <w:rsid w:val="000F3CFF"/>
    <w:rsid w:val="00103575"/>
    <w:rsid w:val="00110D24"/>
    <w:rsid w:val="00117E4E"/>
    <w:rsid w:val="00120027"/>
    <w:rsid w:val="00122DB3"/>
    <w:rsid w:val="001230E0"/>
    <w:rsid w:val="0014149C"/>
    <w:rsid w:val="00144253"/>
    <w:rsid w:val="0014680D"/>
    <w:rsid w:val="001558C0"/>
    <w:rsid w:val="00155C0F"/>
    <w:rsid w:val="00157BB3"/>
    <w:rsid w:val="0016080D"/>
    <w:rsid w:val="001750F8"/>
    <w:rsid w:val="00181EDB"/>
    <w:rsid w:val="001839EC"/>
    <w:rsid w:val="001854F6"/>
    <w:rsid w:val="00186EAF"/>
    <w:rsid w:val="00192AA3"/>
    <w:rsid w:val="001A2A26"/>
    <w:rsid w:val="001A3BC2"/>
    <w:rsid w:val="001A7482"/>
    <w:rsid w:val="001B0338"/>
    <w:rsid w:val="001C66D6"/>
    <w:rsid w:val="001C6F8B"/>
    <w:rsid w:val="001D18AC"/>
    <w:rsid w:val="001D70DF"/>
    <w:rsid w:val="001E055A"/>
    <w:rsid w:val="001E337A"/>
    <w:rsid w:val="00200DA8"/>
    <w:rsid w:val="0020221C"/>
    <w:rsid w:val="00205C35"/>
    <w:rsid w:val="0021506D"/>
    <w:rsid w:val="00216A7B"/>
    <w:rsid w:val="00220413"/>
    <w:rsid w:val="0022483A"/>
    <w:rsid w:val="00244352"/>
    <w:rsid w:val="00246918"/>
    <w:rsid w:val="002476B9"/>
    <w:rsid w:val="00256A69"/>
    <w:rsid w:val="00256D6A"/>
    <w:rsid w:val="0026086F"/>
    <w:rsid w:val="00260B8C"/>
    <w:rsid w:val="00260FAA"/>
    <w:rsid w:val="00280793"/>
    <w:rsid w:val="00281AF7"/>
    <w:rsid w:val="002949E5"/>
    <w:rsid w:val="002968D8"/>
    <w:rsid w:val="002A4160"/>
    <w:rsid w:val="002A4E3C"/>
    <w:rsid w:val="002B0185"/>
    <w:rsid w:val="002B372B"/>
    <w:rsid w:val="002B6556"/>
    <w:rsid w:val="002C5D3E"/>
    <w:rsid w:val="002D1483"/>
    <w:rsid w:val="002D159C"/>
    <w:rsid w:val="002D4391"/>
    <w:rsid w:val="002E2709"/>
    <w:rsid w:val="002E2E49"/>
    <w:rsid w:val="002E2E85"/>
    <w:rsid w:val="002E589A"/>
    <w:rsid w:val="002E5A48"/>
    <w:rsid w:val="002E5C48"/>
    <w:rsid w:val="002F5B71"/>
    <w:rsid w:val="00304907"/>
    <w:rsid w:val="00317CD2"/>
    <w:rsid w:val="00320A8E"/>
    <w:rsid w:val="00322F94"/>
    <w:rsid w:val="00326F1F"/>
    <w:rsid w:val="00331C04"/>
    <w:rsid w:val="003345AE"/>
    <w:rsid w:val="0035464D"/>
    <w:rsid w:val="0037552C"/>
    <w:rsid w:val="003775D3"/>
    <w:rsid w:val="00380DE2"/>
    <w:rsid w:val="00391032"/>
    <w:rsid w:val="00394622"/>
    <w:rsid w:val="0039615D"/>
    <w:rsid w:val="00397DB1"/>
    <w:rsid w:val="003A63C5"/>
    <w:rsid w:val="003C0246"/>
    <w:rsid w:val="003E050A"/>
    <w:rsid w:val="003E5858"/>
    <w:rsid w:val="003F48DA"/>
    <w:rsid w:val="003F4A22"/>
    <w:rsid w:val="003F4FAF"/>
    <w:rsid w:val="0040091C"/>
    <w:rsid w:val="00405611"/>
    <w:rsid w:val="00425986"/>
    <w:rsid w:val="004313A6"/>
    <w:rsid w:val="00431E0D"/>
    <w:rsid w:val="004417CB"/>
    <w:rsid w:val="004423BF"/>
    <w:rsid w:val="0044371C"/>
    <w:rsid w:val="00450DC5"/>
    <w:rsid w:val="004542DF"/>
    <w:rsid w:val="004568DA"/>
    <w:rsid w:val="00457DC6"/>
    <w:rsid w:val="0046553F"/>
    <w:rsid w:val="004744F6"/>
    <w:rsid w:val="00477EB3"/>
    <w:rsid w:val="00490650"/>
    <w:rsid w:val="00493433"/>
    <w:rsid w:val="00493BC1"/>
    <w:rsid w:val="00493E14"/>
    <w:rsid w:val="004A4159"/>
    <w:rsid w:val="004A419A"/>
    <w:rsid w:val="004B2A59"/>
    <w:rsid w:val="004B6ED9"/>
    <w:rsid w:val="004C727F"/>
    <w:rsid w:val="004D4A94"/>
    <w:rsid w:val="004E3651"/>
    <w:rsid w:val="004E48A9"/>
    <w:rsid w:val="004E648A"/>
    <w:rsid w:val="00502607"/>
    <w:rsid w:val="00510649"/>
    <w:rsid w:val="00511526"/>
    <w:rsid w:val="00520D6E"/>
    <w:rsid w:val="00521D2F"/>
    <w:rsid w:val="00523975"/>
    <w:rsid w:val="00523CA9"/>
    <w:rsid w:val="00530CA9"/>
    <w:rsid w:val="0053409D"/>
    <w:rsid w:val="0053758B"/>
    <w:rsid w:val="0054046E"/>
    <w:rsid w:val="00543739"/>
    <w:rsid w:val="005443E3"/>
    <w:rsid w:val="00547A4A"/>
    <w:rsid w:val="00551D11"/>
    <w:rsid w:val="00551F25"/>
    <w:rsid w:val="00553CC5"/>
    <w:rsid w:val="00555E06"/>
    <w:rsid w:val="005612D6"/>
    <w:rsid w:val="00564C4B"/>
    <w:rsid w:val="00567409"/>
    <w:rsid w:val="00595AFE"/>
    <w:rsid w:val="00596FDD"/>
    <w:rsid w:val="005C0D29"/>
    <w:rsid w:val="005C3CBC"/>
    <w:rsid w:val="005C6816"/>
    <w:rsid w:val="005D24B7"/>
    <w:rsid w:val="005D4DA2"/>
    <w:rsid w:val="005D559E"/>
    <w:rsid w:val="005E0284"/>
    <w:rsid w:val="005E1206"/>
    <w:rsid w:val="005E4881"/>
    <w:rsid w:val="005E6A17"/>
    <w:rsid w:val="005F0FC7"/>
    <w:rsid w:val="005F1DA0"/>
    <w:rsid w:val="005F36E8"/>
    <w:rsid w:val="005F7B88"/>
    <w:rsid w:val="0060125A"/>
    <w:rsid w:val="00607839"/>
    <w:rsid w:val="006209E8"/>
    <w:rsid w:val="00622CA4"/>
    <w:rsid w:val="00623C23"/>
    <w:rsid w:val="00624DED"/>
    <w:rsid w:val="00627E91"/>
    <w:rsid w:val="00630E08"/>
    <w:rsid w:val="0063530D"/>
    <w:rsid w:val="00637C94"/>
    <w:rsid w:val="0064495C"/>
    <w:rsid w:val="0065192F"/>
    <w:rsid w:val="0065390C"/>
    <w:rsid w:val="00653FDF"/>
    <w:rsid w:val="00661CA8"/>
    <w:rsid w:val="0066205A"/>
    <w:rsid w:val="006623B7"/>
    <w:rsid w:val="006735E8"/>
    <w:rsid w:val="00680AC2"/>
    <w:rsid w:val="00682BE7"/>
    <w:rsid w:val="0068400B"/>
    <w:rsid w:val="00684DA9"/>
    <w:rsid w:val="00687811"/>
    <w:rsid w:val="00690904"/>
    <w:rsid w:val="00693ED1"/>
    <w:rsid w:val="006A61D8"/>
    <w:rsid w:val="006A6833"/>
    <w:rsid w:val="006B6830"/>
    <w:rsid w:val="006B69DD"/>
    <w:rsid w:val="006C2BE9"/>
    <w:rsid w:val="006C4ADC"/>
    <w:rsid w:val="006C77BA"/>
    <w:rsid w:val="006E312B"/>
    <w:rsid w:val="006E7678"/>
    <w:rsid w:val="006F2605"/>
    <w:rsid w:val="006F2D3C"/>
    <w:rsid w:val="006F5B2E"/>
    <w:rsid w:val="006F6815"/>
    <w:rsid w:val="006F712A"/>
    <w:rsid w:val="00706F11"/>
    <w:rsid w:val="00722067"/>
    <w:rsid w:val="00727B00"/>
    <w:rsid w:val="007312D0"/>
    <w:rsid w:val="00732DF1"/>
    <w:rsid w:val="00733FB0"/>
    <w:rsid w:val="0073599B"/>
    <w:rsid w:val="00737C01"/>
    <w:rsid w:val="00743C56"/>
    <w:rsid w:val="00743CA8"/>
    <w:rsid w:val="00746F53"/>
    <w:rsid w:val="007531CC"/>
    <w:rsid w:val="00764827"/>
    <w:rsid w:val="00766D62"/>
    <w:rsid w:val="00771E61"/>
    <w:rsid w:val="00773B0B"/>
    <w:rsid w:val="00781A64"/>
    <w:rsid w:val="00782A76"/>
    <w:rsid w:val="00790D27"/>
    <w:rsid w:val="007A0B46"/>
    <w:rsid w:val="007A0E77"/>
    <w:rsid w:val="007A4B4E"/>
    <w:rsid w:val="007B0D64"/>
    <w:rsid w:val="007B2090"/>
    <w:rsid w:val="007B4E05"/>
    <w:rsid w:val="007C1745"/>
    <w:rsid w:val="007E5220"/>
    <w:rsid w:val="007E5605"/>
    <w:rsid w:val="007F0402"/>
    <w:rsid w:val="008001B9"/>
    <w:rsid w:val="0080097A"/>
    <w:rsid w:val="008051FF"/>
    <w:rsid w:val="00805724"/>
    <w:rsid w:val="008121E8"/>
    <w:rsid w:val="00816B82"/>
    <w:rsid w:val="0082354F"/>
    <w:rsid w:val="008238FD"/>
    <w:rsid w:val="00826DC3"/>
    <w:rsid w:val="00831FD4"/>
    <w:rsid w:val="008320C1"/>
    <w:rsid w:val="008337E0"/>
    <w:rsid w:val="00834994"/>
    <w:rsid w:val="0084035D"/>
    <w:rsid w:val="0084038D"/>
    <w:rsid w:val="00840EA5"/>
    <w:rsid w:val="008465B8"/>
    <w:rsid w:val="00853DCF"/>
    <w:rsid w:val="00855D97"/>
    <w:rsid w:val="00855DEE"/>
    <w:rsid w:val="00861CD8"/>
    <w:rsid w:val="00863BFF"/>
    <w:rsid w:val="008647D0"/>
    <w:rsid w:val="00864C34"/>
    <w:rsid w:val="00873568"/>
    <w:rsid w:val="00874402"/>
    <w:rsid w:val="008750B4"/>
    <w:rsid w:val="008931BB"/>
    <w:rsid w:val="00893250"/>
    <w:rsid w:val="008947F7"/>
    <w:rsid w:val="00896DBB"/>
    <w:rsid w:val="0089788B"/>
    <w:rsid w:val="008A35D7"/>
    <w:rsid w:val="008A409B"/>
    <w:rsid w:val="008B70D9"/>
    <w:rsid w:val="008C329D"/>
    <w:rsid w:val="008D2D90"/>
    <w:rsid w:val="008D4256"/>
    <w:rsid w:val="008D59A8"/>
    <w:rsid w:val="008E20BD"/>
    <w:rsid w:val="008E4C16"/>
    <w:rsid w:val="00912A67"/>
    <w:rsid w:val="009135A2"/>
    <w:rsid w:val="00920654"/>
    <w:rsid w:val="0092211B"/>
    <w:rsid w:val="0092564D"/>
    <w:rsid w:val="009346FD"/>
    <w:rsid w:val="00945FC8"/>
    <w:rsid w:val="00950547"/>
    <w:rsid w:val="009572C1"/>
    <w:rsid w:val="00957AC7"/>
    <w:rsid w:val="0096200F"/>
    <w:rsid w:val="00966059"/>
    <w:rsid w:val="00966B32"/>
    <w:rsid w:val="009677C6"/>
    <w:rsid w:val="00974417"/>
    <w:rsid w:val="009818AA"/>
    <w:rsid w:val="00982B70"/>
    <w:rsid w:val="00995D9A"/>
    <w:rsid w:val="009A3AAD"/>
    <w:rsid w:val="009A4679"/>
    <w:rsid w:val="009A4935"/>
    <w:rsid w:val="009A5912"/>
    <w:rsid w:val="009A6105"/>
    <w:rsid w:val="009B5C63"/>
    <w:rsid w:val="009B70DE"/>
    <w:rsid w:val="009B7453"/>
    <w:rsid w:val="009C0BB8"/>
    <w:rsid w:val="009C70AE"/>
    <w:rsid w:val="009D1D87"/>
    <w:rsid w:val="009D2608"/>
    <w:rsid w:val="009D3C80"/>
    <w:rsid w:val="009D792E"/>
    <w:rsid w:val="009E0CA8"/>
    <w:rsid w:val="009E1CE4"/>
    <w:rsid w:val="009E64B9"/>
    <w:rsid w:val="009E7CE6"/>
    <w:rsid w:val="009F1DA7"/>
    <w:rsid w:val="009F64E3"/>
    <w:rsid w:val="00A02891"/>
    <w:rsid w:val="00A062D1"/>
    <w:rsid w:val="00A07007"/>
    <w:rsid w:val="00A11576"/>
    <w:rsid w:val="00A11FB2"/>
    <w:rsid w:val="00A123DB"/>
    <w:rsid w:val="00A14DED"/>
    <w:rsid w:val="00A22627"/>
    <w:rsid w:val="00A328A7"/>
    <w:rsid w:val="00A32CF5"/>
    <w:rsid w:val="00A404AC"/>
    <w:rsid w:val="00A43CFC"/>
    <w:rsid w:val="00A519CA"/>
    <w:rsid w:val="00A51E1C"/>
    <w:rsid w:val="00A56972"/>
    <w:rsid w:val="00A57F03"/>
    <w:rsid w:val="00A7213C"/>
    <w:rsid w:val="00A72173"/>
    <w:rsid w:val="00A771A2"/>
    <w:rsid w:val="00A81E4A"/>
    <w:rsid w:val="00A8311C"/>
    <w:rsid w:val="00A85449"/>
    <w:rsid w:val="00A90E0B"/>
    <w:rsid w:val="00A94AAA"/>
    <w:rsid w:val="00AA264A"/>
    <w:rsid w:val="00AA45ED"/>
    <w:rsid w:val="00AA566B"/>
    <w:rsid w:val="00AA7E61"/>
    <w:rsid w:val="00AB4010"/>
    <w:rsid w:val="00AB7BAB"/>
    <w:rsid w:val="00AC24A3"/>
    <w:rsid w:val="00AC4236"/>
    <w:rsid w:val="00AC5ACD"/>
    <w:rsid w:val="00AC6739"/>
    <w:rsid w:val="00AC6E75"/>
    <w:rsid w:val="00AC6F21"/>
    <w:rsid w:val="00AD2505"/>
    <w:rsid w:val="00AE30F6"/>
    <w:rsid w:val="00AF18A4"/>
    <w:rsid w:val="00AF339D"/>
    <w:rsid w:val="00B01A7B"/>
    <w:rsid w:val="00B03934"/>
    <w:rsid w:val="00B058C1"/>
    <w:rsid w:val="00B200DE"/>
    <w:rsid w:val="00B229AF"/>
    <w:rsid w:val="00B235A4"/>
    <w:rsid w:val="00B2409A"/>
    <w:rsid w:val="00B276FF"/>
    <w:rsid w:val="00B370F1"/>
    <w:rsid w:val="00B51973"/>
    <w:rsid w:val="00B601A9"/>
    <w:rsid w:val="00B6032C"/>
    <w:rsid w:val="00B62464"/>
    <w:rsid w:val="00B71043"/>
    <w:rsid w:val="00B750F1"/>
    <w:rsid w:val="00B76027"/>
    <w:rsid w:val="00B81B43"/>
    <w:rsid w:val="00B827F8"/>
    <w:rsid w:val="00B8588A"/>
    <w:rsid w:val="00B863CF"/>
    <w:rsid w:val="00B93FC8"/>
    <w:rsid w:val="00B94A8C"/>
    <w:rsid w:val="00BA21B8"/>
    <w:rsid w:val="00BC2C10"/>
    <w:rsid w:val="00BD623C"/>
    <w:rsid w:val="00BF0443"/>
    <w:rsid w:val="00BF106C"/>
    <w:rsid w:val="00BF25B9"/>
    <w:rsid w:val="00BF7D6F"/>
    <w:rsid w:val="00C02376"/>
    <w:rsid w:val="00C053BC"/>
    <w:rsid w:val="00C05B37"/>
    <w:rsid w:val="00C1498D"/>
    <w:rsid w:val="00C263E9"/>
    <w:rsid w:val="00C30FAE"/>
    <w:rsid w:val="00C37B64"/>
    <w:rsid w:val="00C41973"/>
    <w:rsid w:val="00C43CF8"/>
    <w:rsid w:val="00C45302"/>
    <w:rsid w:val="00C5544D"/>
    <w:rsid w:val="00C57D83"/>
    <w:rsid w:val="00C61F33"/>
    <w:rsid w:val="00C720D8"/>
    <w:rsid w:val="00C8274F"/>
    <w:rsid w:val="00C924D1"/>
    <w:rsid w:val="00CA18F8"/>
    <w:rsid w:val="00CA2340"/>
    <w:rsid w:val="00CA705D"/>
    <w:rsid w:val="00CB2C8E"/>
    <w:rsid w:val="00CB5C24"/>
    <w:rsid w:val="00CC51E2"/>
    <w:rsid w:val="00CC5874"/>
    <w:rsid w:val="00CE1F1A"/>
    <w:rsid w:val="00CE2272"/>
    <w:rsid w:val="00CF537C"/>
    <w:rsid w:val="00CF6B54"/>
    <w:rsid w:val="00D053F6"/>
    <w:rsid w:val="00D07156"/>
    <w:rsid w:val="00D07A31"/>
    <w:rsid w:val="00D1412E"/>
    <w:rsid w:val="00D20CCD"/>
    <w:rsid w:val="00D2307B"/>
    <w:rsid w:val="00D265BD"/>
    <w:rsid w:val="00D319DC"/>
    <w:rsid w:val="00D345E9"/>
    <w:rsid w:val="00D35CB5"/>
    <w:rsid w:val="00D37979"/>
    <w:rsid w:val="00D4389A"/>
    <w:rsid w:val="00D47032"/>
    <w:rsid w:val="00D53BEA"/>
    <w:rsid w:val="00D53E6A"/>
    <w:rsid w:val="00D627FB"/>
    <w:rsid w:val="00D705C2"/>
    <w:rsid w:val="00D72546"/>
    <w:rsid w:val="00D72777"/>
    <w:rsid w:val="00D750D8"/>
    <w:rsid w:val="00D85178"/>
    <w:rsid w:val="00D94F3A"/>
    <w:rsid w:val="00DA0B97"/>
    <w:rsid w:val="00DA1D36"/>
    <w:rsid w:val="00DA55BC"/>
    <w:rsid w:val="00DA5E39"/>
    <w:rsid w:val="00DA63AD"/>
    <w:rsid w:val="00DB4D79"/>
    <w:rsid w:val="00DB500C"/>
    <w:rsid w:val="00DB66EF"/>
    <w:rsid w:val="00DC225E"/>
    <w:rsid w:val="00DC6E27"/>
    <w:rsid w:val="00DD051F"/>
    <w:rsid w:val="00DD0624"/>
    <w:rsid w:val="00DD1038"/>
    <w:rsid w:val="00DD30F3"/>
    <w:rsid w:val="00DE2118"/>
    <w:rsid w:val="00DE2863"/>
    <w:rsid w:val="00DF00B9"/>
    <w:rsid w:val="00DF7992"/>
    <w:rsid w:val="00E01F15"/>
    <w:rsid w:val="00E201D2"/>
    <w:rsid w:val="00E21799"/>
    <w:rsid w:val="00E37492"/>
    <w:rsid w:val="00E3764E"/>
    <w:rsid w:val="00E411F1"/>
    <w:rsid w:val="00E5198B"/>
    <w:rsid w:val="00E53E12"/>
    <w:rsid w:val="00E61D9D"/>
    <w:rsid w:val="00E66503"/>
    <w:rsid w:val="00E733AC"/>
    <w:rsid w:val="00E77F41"/>
    <w:rsid w:val="00E80BB3"/>
    <w:rsid w:val="00E831CC"/>
    <w:rsid w:val="00E85253"/>
    <w:rsid w:val="00E94DF7"/>
    <w:rsid w:val="00E95849"/>
    <w:rsid w:val="00EA0D5C"/>
    <w:rsid w:val="00EA2F93"/>
    <w:rsid w:val="00EA5EC5"/>
    <w:rsid w:val="00EB24EC"/>
    <w:rsid w:val="00EC7C81"/>
    <w:rsid w:val="00ED0209"/>
    <w:rsid w:val="00ED1BEA"/>
    <w:rsid w:val="00ED2319"/>
    <w:rsid w:val="00EE095D"/>
    <w:rsid w:val="00EE483E"/>
    <w:rsid w:val="00EE753C"/>
    <w:rsid w:val="00EF27C3"/>
    <w:rsid w:val="00EF573C"/>
    <w:rsid w:val="00F02532"/>
    <w:rsid w:val="00F057B8"/>
    <w:rsid w:val="00F05FA5"/>
    <w:rsid w:val="00F07639"/>
    <w:rsid w:val="00F11664"/>
    <w:rsid w:val="00F165F8"/>
    <w:rsid w:val="00F22E68"/>
    <w:rsid w:val="00F378EF"/>
    <w:rsid w:val="00F50408"/>
    <w:rsid w:val="00F60F5B"/>
    <w:rsid w:val="00F61F42"/>
    <w:rsid w:val="00F72D63"/>
    <w:rsid w:val="00F7511C"/>
    <w:rsid w:val="00F76200"/>
    <w:rsid w:val="00F8112D"/>
    <w:rsid w:val="00F8528F"/>
    <w:rsid w:val="00F8531E"/>
    <w:rsid w:val="00F85D47"/>
    <w:rsid w:val="00F862BB"/>
    <w:rsid w:val="00F87130"/>
    <w:rsid w:val="00F924F7"/>
    <w:rsid w:val="00F929F8"/>
    <w:rsid w:val="00F933E3"/>
    <w:rsid w:val="00F95E3B"/>
    <w:rsid w:val="00FA47ED"/>
    <w:rsid w:val="00FA52BC"/>
    <w:rsid w:val="00FA63FE"/>
    <w:rsid w:val="00FA782A"/>
    <w:rsid w:val="00FB05D7"/>
    <w:rsid w:val="00FB417E"/>
    <w:rsid w:val="00FC0374"/>
    <w:rsid w:val="00FC16E8"/>
    <w:rsid w:val="00FC1F78"/>
    <w:rsid w:val="00FC3C6F"/>
    <w:rsid w:val="00FC41DF"/>
    <w:rsid w:val="00FC4C73"/>
    <w:rsid w:val="00FD1236"/>
    <w:rsid w:val="00FE50A6"/>
    <w:rsid w:val="00FF0537"/>
    <w:rsid w:val="00FF2253"/>
    <w:rsid w:val="00FF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B61C"/>
  <w15:docId w15:val="{266539E8-7D82-478B-8A5D-8C4AA9F0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45"/>
    <w:pPr>
      <w:spacing w:before="120" w:after="120"/>
      <w:jc w:val="both"/>
    </w:pPr>
    <w:rPr>
      <w:sz w:val="24"/>
      <w:szCs w:val="24"/>
      <w:lang w:eastAsia="de-DE"/>
    </w:rPr>
  </w:style>
  <w:style w:type="paragraph" w:styleId="Heading1">
    <w:name w:val="heading 1"/>
    <w:basedOn w:val="Normal"/>
    <w:next w:val="Normal"/>
    <w:link w:val="Heading1Char"/>
    <w:qFormat/>
    <w:rsid w:val="007C1745"/>
    <w:pPr>
      <w:keepNext/>
      <w:numPr>
        <w:numId w:val="4"/>
      </w:numPr>
      <w:spacing w:before="360"/>
      <w:outlineLvl w:val="0"/>
    </w:pPr>
    <w:rPr>
      <w:b/>
      <w:bCs/>
      <w:smallCaps/>
      <w:szCs w:val="32"/>
    </w:rPr>
  </w:style>
  <w:style w:type="paragraph" w:styleId="Heading2">
    <w:name w:val="heading 2"/>
    <w:basedOn w:val="Normal"/>
    <w:next w:val="Normal"/>
    <w:link w:val="Heading2Char"/>
    <w:qFormat/>
    <w:rsid w:val="007C1745"/>
    <w:pPr>
      <w:keepNext/>
      <w:numPr>
        <w:ilvl w:val="1"/>
        <w:numId w:val="4"/>
      </w:numPr>
      <w:outlineLvl w:val="1"/>
    </w:pPr>
    <w:rPr>
      <w:b/>
      <w:bCs/>
      <w:iCs/>
      <w:szCs w:val="28"/>
    </w:rPr>
  </w:style>
  <w:style w:type="paragraph" w:styleId="Heading3">
    <w:name w:val="heading 3"/>
    <w:basedOn w:val="Normal"/>
    <w:next w:val="Normal"/>
    <w:link w:val="Heading3Char"/>
    <w:qFormat/>
    <w:rsid w:val="007C1745"/>
    <w:pPr>
      <w:keepNext/>
      <w:numPr>
        <w:ilvl w:val="2"/>
        <w:numId w:val="4"/>
      </w:numPr>
      <w:outlineLvl w:val="2"/>
    </w:pPr>
    <w:rPr>
      <w:bCs/>
      <w:i/>
      <w:szCs w:val="26"/>
    </w:rPr>
  </w:style>
  <w:style w:type="paragraph" w:styleId="Heading4">
    <w:name w:val="heading 4"/>
    <w:basedOn w:val="Normal"/>
    <w:next w:val="Normal"/>
    <w:link w:val="Heading4Char"/>
    <w:qFormat/>
    <w:rsid w:val="007C1745"/>
    <w:pPr>
      <w:keepNext/>
      <w:numPr>
        <w:ilvl w:val="3"/>
        <w:numId w:val="4"/>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45"/>
    <w:rPr>
      <w:b/>
      <w:bCs/>
      <w:smallCaps/>
      <w:sz w:val="24"/>
      <w:szCs w:val="32"/>
      <w:lang w:eastAsia="de-DE"/>
    </w:rPr>
  </w:style>
  <w:style w:type="character" w:customStyle="1" w:styleId="Heading2Char">
    <w:name w:val="Heading 2 Char"/>
    <w:basedOn w:val="DefaultParagraphFont"/>
    <w:link w:val="Heading2"/>
    <w:rsid w:val="007C1745"/>
    <w:rPr>
      <w:b/>
      <w:bCs/>
      <w:iCs/>
      <w:sz w:val="24"/>
      <w:szCs w:val="28"/>
      <w:lang w:eastAsia="de-DE"/>
    </w:rPr>
  </w:style>
  <w:style w:type="character" w:customStyle="1" w:styleId="Heading3Char">
    <w:name w:val="Heading 3 Char"/>
    <w:basedOn w:val="DefaultParagraphFont"/>
    <w:link w:val="Heading3"/>
    <w:rsid w:val="007C1745"/>
    <w:rPr>
      <w:bCs/>
      <w:i/>
      <w:sz w:val="24"/>
      <w:szCs w:val="26"/>
      <w:lang w:eastAsia="de-DE"/>
    </w:rPr>
  </w:style>
  <w:style w:type="character" w:customStyle="1" w:styleId="Heading4Char">
    <w:name w:val="Heading 4 Char"/>
    <w:basedOn w:val="DefaultParagraphFont"/>
    <w:link w:val="Heading4"/>
    <w:rsid w:val="007C1745"/>
    <w:rPr>
      <w:bCs/>
      <w:sz w:val="24"/>
      <w:szCs w:val="28"/>
      <w:lang w:eastAsia="de-DE"/>
    </w:rPr>
  </w:style>
  <w:style w:type="paragraph" w:styleId="TOCHeading">
    <w:name w:val="TOC Heading"/>
    <w:basedOn w:val="Normal"/>
    <w:next w:val="Normal"/>
    <w:qFormat/>
    <w:rsid w:val="007C1745"/>
    <w:pPr>
      <w:spacing w:after="240"/>
      <w:jc w:val="center"/>
    </w:pPr>
    <w:rPr>
      <w:b/>
      <w:sz w:val="28"/>
    </w:rPr>
  </w:style>
  <w:style w:type="paragraph" w:styleId="ListParagraph">
    <w:name w:val="List Paragraph"/>
    <w:basedOn w:val="Normal"/>
    <w:uiPriority w:val="34"/>
    <w:qFormat/>
    <w:rsid w:val="008B70D9"/>
    <w:pPr>
      <w:ind w:left="720"/>
      <w:contextualSpacing/>
    </w:pPr>
  </w:style>
  <w:style w:type="character" w:styleId="CommentReference">
    <w:name w:val="annotation reference"/>
    <w:basedOn w:val="DefaultParagraphFont"/>
    <w:uiPriority w:val="99"/>
    <w:semiHidden/>
    <w:unhideWhenUsed/>
    <w:rsid w:val="00E3764E"/>
    <w:rPr>
      <w:sz w:val="16"/>
      <w:szCs w:val="16"/>
    </w:rPr>
  </w:style>
  <w:style w:type="paragraph" w:styleId="CommentText">
    <w:name w:val="annotation text"/>
    <w:basedOn w:val="Normal"/>
    <w:link w:val="CommentTextChar"/>
    <w:uiPriority w:val="99"/>
    <w:semiHidden/>
    <w:unhideWhenUsed/>
    <w:rsid w:val="00E3764E"/>
    <w:rPr>
      <w:sz w:val="20"/>
      <w:szCs w:val="20"/>
    </w:rPr>
  </w:style>
  <w:style w:type="character" w:customStyle="1" w:styleId="CommentTextChar">
    <w:name w:val="Comment Text Char"/>
    <w:basedOn w:val="DefaultParagraphFont"/>
    <w:link w:val="CommentText"/>
    <w:uiPriority w:val="99"/>
    <w:semiHidden/>
    <w:rsid w:val="00E3764E"/>
    <w:rPr>
      <w:lang w:eastAsia="de-DE"/>
    </w:rPr>
  </w:style>
  <w:style w:type="paragraph" w:styleId="CommentSubject">
    <w:name w:val="annotation subject"/>
    <w:basedOn w:val="CommentText"/>
    <w:next w:val="CommentText"/>
    <w:link w:val="CommentSubjectChar"/>
    <w:uiPriority w:val="99"/>
    <w:semiHidden/>
    <w:unhideWhenUsed/>
    <w:rsid w:val="00E3764E"/>
    <w:rPr>
      <w:b/>
      <w:bCs/>
    </w:rPr>
  </w:style>
  <w:style w:type="character" w:customStyle="1" w:styleId="CommentSubjectChar">
    <w:name w:val="Comment Subject Char"/>
    <w:basedOn w:val="CommentTextChar"/>
    <w:link w:val="CommentSubject"/>
    <w:uiPriority w:val="99"/>
    <w:semiHidden/>
    <w:rsid w:val="00E3764E"/>
    <w:rPr>
      <w:b/>
      <w:bCs/>
      <w:lang w:eastAsia="de-DE"/>
    </w:rPr>
  </w:style>
  <w:style w:type="paragraph" w:styleId="Revision">
    <w:name w:val="Revision"/>
    <w:hidden/>
    <w:uiPriority w:val="99"/>
    <w:semiHidden/>
    <w:rsid w:val="00E3764E"/>
    <w:rPr>
      <w:sz w:val="24"/>
      <w:szCs w:val="24"/>
      <w:lang w:eastAsia="de-DE"/>
    </w:rPr>
  </w:style>
  <w:style w:type="paragraph" w:styleId="BalloonText">
    <w:name w:val="Balloon Text"/>
    <w:basedOn w:val="Normal"/>
    <w:link w:val="BalloonTextChar"/>
    <w:uiPriority w:val="99"/>
    <w:semiHidden/>
    <w:unhideWhenUsed/>
    <w:rsid w:val="00E376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4E"/>
    <w:rPr>
      <w:rFonts w:ascii="Segoe UI" w:hAnsi="Segoe UI" w:cs="Segoe UI"/>
      <w:sz w:val="18"/>
      <w:szCs w:val="18"/>
      <w:lang w:eastAsia="de-DE"/>
    </w:rPr>
  </w:style>
  <w:style w:type="paragraph" w:styleId="FootnoteText">
    <w:name w:val="footnote text"/>
    <w:basedOn w:val="Normal"/>
    <w:link w:val="FootnoteTextChar"/>
    <w:uiPriority w:val="99"/>
    <w:semiHidden/>
    <w:unhideWhenUsed/>
    <w:rsid w:val="00B750F1"/>
    <w:pPr>
      <w:spacing w:before="0" w:after="0"/>
    </w:pPr>
    <w:rPr>
      <w:sz w:val="20"/>
      <w:szCs w:val="20"/>
    </w:rPr>
  </w:style>
  <w:style w:type="character" w:customStyle="1" w:styleId="FootnoteTextChar">
    <w:name w:val="Footnote Text Char"/>
    <w:basedOn w:val="DefaultParagraphFont"/>
    <w:link w:val="FootnoteText"/>
    <w:uiPriority w:val="99"/>
    <w:semiHidden/>
    <w:rsid w:val="00B750F1"/>
    <w:rPr>
      <w:lang w:eastAsia="de-DE"/>
    </w:rPr>
  </w:style>
  <w:style w:type="character" w:styleId="FootnoteReference">
    <w:name w:val="footnote reference"/>
    <w:basedOn w:val="DefaultParagraphFont"/>
    <w:uiPriority w:val="99"/>
    <w:semiHidden/>
    <w:unhideWhenUsed/>
    <w:rsid w:val="00B750F1"/>
    <w:rPr>
      <w:vertAlign w:val="superscript"/>
    </w:rPr>
  </w:style>
  <w:style w:type="paragraph" w:styleId="Header">
    <w:name w:val="header"/>
    <w:basedOn w:val="Normal"/>
    <w:link w:val="HeaderChar"/>
    <w:uiPriority w:val="99"/>
    <w:unhideWhenUsed/>
    <w:rsid w:val="00CF537C"/>
    <w:pPr>
      <w:tabs>
        <w:tab w:val="center" w:pos="4513"/>
        <w:tab w:val="right" w:pos="9026"/>
      </w:tabs>
      <w:spacing w:before="0" w:after="0"/>
    </w:pPr>
  </w:style>
  <w:style w:type="character" w:customStyle="1" w:styleId="HeaderChar">
    <w:name w:val="Header Char"/>
    <w:basedOn w:val="DefaultParagraphFont"/>
    <w:link w:val="Header"/>
    <w:uiPriority w:val="99"/>
    <w:rsid w:val="00CF537C"/>
    <w:rPr>
      <w:sz w:val="24"/>
      <w:szCs w:val="24"/>
      <w:lang w:eastAsia="de-DE"/>
    </w:rPr>
  </w:style>
  <w:style w:type="paragraph" w:styleId="Footer">
    <w:name w:val="footer"/>
    <w:basedOn w:val="Normal"/>
    <w:link w:val="FooterChar"/>
    <w:uiPriority w:val="99"/>
    <w:unhideWhenUsed/>
    <w:rsid w:val="00CF537C"/>
    <w:pPr>
      <w:tabs>
        <w:tab w:val="center" w:pos="4513"/>
        <w:tab w:val="right" w:pos="9026"/>
      </w:tabs>
      <w:spacing w:before="0" w:after="0"/>
    </w:pPr>
  </w:style>
  <w:style w:type="character" w:customStyle="1" w:styleId="FooterChar">
    <w:name w:val="Footer Char"/>
    <w:basedOn w:val="DefaultParagraphFont"/>
    <w:link w:val="Footer"/>
    <w:uiPriority w:val="99"/>
    <w:rsid w:val="00CF537C"/>
    <w:rPr>
      <w:sz w:val="24"/>
      <w:szCs w:val="24"/>
      <w:lang w:eastAsia="de-DE"/>
    </w:rPr>
  </w:style>
  <w:style w:type="paragraph" w:customStyle="1" w:styleId="ManualNumPar1">
    <w:name w:val="Manual NumPar 1"/>
    <w:basedOn w:val="Normal"/>
    <w:next w:val="Normal"/>
    <w:rsid w:val="00425986"/>
    <w:pPr>
      <w:ind w:left="850" w:hanging="850"/>
    </w:pPr>
    <w:rPr>
      <w:rFonts w:eastAsiaTheme="minorHAnsi"/>
      <w:szCs w:val="22"/>
      <w:lang w:eastAsia="en-US"/>
    </w:rPr>
  </w:style>
  <w:style w:type="paragraph" w:styleId="NormalWeb">
    <w:name w:val="Normal (Web)"/>
    <w:basedOn w:val="Normal"/>
    <w:uiPriority w:val="99"/>
    <w:semiHidden/>
    <w:unhideWhenUsed/>
    <w:rsid w:val="009818AA"/>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6914">
      <w:bodyDiv w:val="1"/>
      <w:marLeft w:val="0"/>
      <w:marRight w:val="0"/>
      <w:marTop w:val="0"/>
      <w:marBottom w:val="0"/>
      <w:divBdr>
        <w:top w:val="none" w:sz="0" w:space="0" w:color="auto"/>
        <w:left w:val="none" w:sz="0" w:space="0" w:color="auto"/>
        <w:bottom w:val="none" w:sz="0" w:space="0" w:color="auto"/>
        <w:right w:val="none" w:sz="0" w:space="0" w:color="auto"/>
      </w:divBdr>
    </w:div>
    <w:div w:id="969438357">
      <w:bodyDiv w:val="1"/>
      <w:marLeft w:val="0"/>
      <w:marRight w:val="0"/>
      <w:marTop w:val="0"/>
      <w:marBottom w:val="0"/>
      <w:divBdr>
        <w:top w:val="none" w:sz="0" w:space="0" w:color="auto"/>
        <w:left w:val="none" w:sz="0" w:space="0" w:color="auto"/>
        <w:bottom w:val="none" w:sz="0" w:space="0" w:color="auto"/>
        <w:right w:val="none" w:sz="0" w:space="0" w:color="auto"/>
      </w:divBdr>
    </w:div>
    <w:div w:id="2090731361">
      <w:bodyDiv w:val="1"/>
      <w:marLeft w:val="0"/>
      <w:marRight w:val="0"/>
      <w:marTop w:val="0"/>
      <w:marBottom w:val="0"/>
      <w:divBdr>
        <w:top w:val="none" w:sz="0" w:space="0" w:color="auto"/>
        <w:left w:val="none" w:sz="0" w:space="0" w:color="auto"/>
        <w:bottom w:val="none" w:sz="0" w:space="0" w:color="auto"/>
        <w:right w:val="none" w:sz="0" w:space="0" w:color="auto"/>
      </w:divBdr>
      <w:divsChild>
        <w:div w:id="25444842">
          <w:marLeft w:val="0"/>
          <w:marRight w:val="0"/>
          <w:marTop w:val="0"/>
          <w:marBottom w:val="0"/>
          <w:divBdr>
            <w:top w:val="none" w:sz="0" w:space="0" w:color="auto"/>
            <w:left w:val="none" w:sz="0" w:space="0" w:color="auto"/>
            <w:bottom w:val="none" w:sz="0" w:space="0" w:color="auto"/>
            <w:right w:val="none" w:sz="0" w:space="0" w:color="auto"/>
          </w:divBdr>
        </w:div>
        <w:div w:id="1429695503">
          <w:marLeft w:val="0"/>
          <w:marRight w:val="0"/>
          <w:marTop w:val="0"/>
          <w:marBottom w:val="0"/>
          <w:divBdr>
            <w:top w:val="none" w:sz="0" w:space="0" w:color="auto"/>
            <w:left w:val="none" w:sz="0" w:space="0" w:color="auto"/>
            <w:bottom w:val="none" w:sz="0" w:space="0" w:color="auto"/>
            <w:right w:val="none" w:sz="0" w:space="0" w:color="auto"/>
          </w:divBdr>
        </w:div>
        <w:div w:id="367490186">
          <w:marLeft w:val="0"/>
          <w:marRight w:val="0"/>
          <w:marTop w:val="0"/>
          <w:marBottom w:val="0"/>
          <w:divBdr>
            <w:top w:val="none" w:sz="0" w:space="0" w:color="auto"/>
            <w:left w:val="none" w:sz="0" w:space="0" w:color="auto"/>
            <w:bottom w:val="none" w:sz="0" w:space="0" w:color="auto"/>
            <w:right w:val="none" w:sz="0" w:space="0" w:color="auto"/>
          </w:divBdr>
        </w:div>
        <w:div w:id="2897027">
          <w:marLeft w:val="0"/>
          <w:marRight w:val="0"/>
          <w:marTop w:val="0"/>
          <w:marBottom w:val="0"/>
          <w:divBdr>
            <w:top w:val="none" w:sz="0" w:space="0" w:color="auto"/>
            <w:left w:val="none" w:sz="0" w:space="0" w:color="auto"/>
            <w:bottom w:val="none" w:sz="0" w:space="0" w:color="auto"/>
            <w:right w:val="none" w:sz="0" w:space="0" w:color="auto"/>
          </w:divBdr>
        </w:div>
        <w:div w:id="295841782">
          <w:marLeft w:val="0"/>
          <w:marRight w:val="0"/>
          <w:marTop w:val="0"/>
          <w:marBottom w:val="0"/>
          <w:divBdr>
            <w:top w:val="none" w:sz="0" w:space="0" w:color="auto"/>
            <w:left w:val="none" w:sz="0" w:space="0" w:color="auto"/>
            <w:bottom w:val="none" w:sz="0" w:space="0" w:color="auto"/>
            <w:right w:val="none" w:sz="0" w:space="0" w:color="auto"/>
          </w:divBdr>
        </w:div>
        <w:div w:id="243563982">
          <w:marLeft w:val="0"/>
          <w:marRight w:val="0"/>
          <w:marTop w:val="0"/>
          <w:marBottom w:val="0"/>
          <w:divBdr>
            <w:top w:val="none" w:sz="0" w:space="0" w:color="auto"/>
            <w:left w:val="none" w:sz="0" w:space="0" w:color="auto"/>
            <w:bottom w:val="none" w:sz="0" w:space="0" w:color="auto"/>
            <w:right w:val="none" w:sz="0" w:space="0" w:color="auto"/>
          </w:divBdr>
        </w:div>
        <w:div w:id="1696006689">
          <w:marLeft w:val="0"/>
          <w:marRight w:val="0"/>
          <w:marTop w:val="0"/>
          <w:marBottom w:val="0"/>
          <w:divBdr>
            <w:top w:val="none" w:sz="0" w:space="0" w:color="auto"/>
            <w:left w:val="none" w:sz="0" w:space="0" w:color="auto"/>
            <w:bottom w:val="none" w:sz="0" w:space="0" w:color="auto"/>
            <w:right w:val="none" w:sz="0" w:space="0" w:color="auto"/>
          </w:divBdr>
        </w:div>
        <w:div w:id="696463225">
          <w:marLeft w:val="0"/>
          <w:marRight w:val="0"/>
          <w:marTop w:val="0"/>
          <w:marBottom w:val="0"/>
          <w:divBdr>
            <w:top w:val="none" w:sz="0" w:space="0" w:color="auto"/>
            <w:left w:val="none" w:sz="0" w:space="0" w:color="auto"/>
            <w:bottom w:val="none" w:sz="0" w:space="0" w:color="auto"/>
            <w:right w:val="none" w:sz="0" w:space="0" w:color="auto"/>
          </w:divBdr>
        </w:div>
        <w:div w:id="965309241">
          <w:marLeft w:val="0"/>
          <w:marRight w:val="0"/>
          <w:marTop w:val="0"/>
          <w:marBottom w:val="0"/>
          <w:divBdr>
            <w:top w:val="none" w:sz="0" w:space="0" w:color="auto"/>
            <w:left w:val="none" w:sz="0" w:space="0" w:color="auto"/>
            <w:bottom w:val="none" w:sz="0" w:space="0" w:color="auto"/>
            <w:right w:val="none" w:sz="0" w:space="0" w:color="auto"/>
          </w:divBdr>
        </w:div>
        <w:div w:id="1844587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4F5546E6268474DADBF6F96B2F8F985" ma:contentTypeVersion="0" ma:contentTypeDescription="Create a new document in this library." ma:contentTypeScope="" ma:versionID="4580a367e9a4c470751f609fc4e122bb">
  <xsd:schema xmlns:xsd="http://www.w3.org/2001/XMLSchema" xmlns:xs="http://www.w3.org/2001/XMLSchema" xmlns:p="http://schemas.microsoft.com/office/2006/metadata/properties" xmlns:ns2="http://schemas.microsoft.com/sharepoint/v3/fields" xmlns:ns3="2170f1bb-b4a4-405f-baef-d2accc8145af" targetNamespace="http://schemas.microsoft.com/office/2006/metadata/properties" ma:root="true" ma:fieldsID="44b4e04e4fa5a70bc054bc63179d5430" ns2:_="" ns3:_="">
    <xsd:import namespace="http://schemas.microsoft.com/sharepoint/v3/fields"/>
    <xsd:import namespace="2170f1bb-b4a4-405f-baef-d2accc8145a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170f1bb-b4a4-405f-baef-d2accc8145a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2170f1bb-b4a4-405f-baef-d2accc8145af">EN</EC_Collab_DocumentLanguage>
    <EC_Collab_Reference xmlns="2170f1bb-b4a4-405f-baef-d2accc8145af" xsi:nil="true"/>
    <EC_Collab_Status xmlns="2170f1bb-b4a4-405f-baef-d2accc8145af">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D36C81-7879-4BDD-A2D4-BB1DB0D1A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170f1bb-b4a4-405f-baef-d2accc814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1741D-43F0-4B81-A09C-878A2F79A21D}">
  <ds:schemaRefs>
    <ds:schemaRef ds:uri="2170f1bb-b4a4-405f-baef-d2accc8145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B14D412-64C5-4147-B63C-EDE55338FF10}">
  <ds:schemaRefs>
    <ds:schemaRef ds:uri="http://schemas.microsoft.com/sharepoint/v3/contenttype/forms"/>
  </ds:schemaRefs>
</ds:datastoreItem>
</file>

<file path=customXml/itemProps4.xml><?xml version="1.0" encoding="utf-8"?>
<ds:datastoreItem xmlns:ds="http://schemas.openxmlformats.org/officeDocument/2006/customXml" ds:itemID="{89DF9F0C-872B-4E09-9A86-2053013D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8724</Characters>
  <Application>Microsoft Office Word</Application>
  <DocSecurity>4</DocSecurity>
  <Lines>145</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VALTONEN Saila (ECFIN)</dc:creator>
  <cp:lastModifiedBy>GOEGER Estelle (ECFIN)</cp:lastModifiedBy>
  <cp:revision>2</cp:revision>
  <cp:lastPrinted>2019-02-18T18:41:00Z</cp:lastPrinted>
  <dcterms:created xsi:type="dcterms:W3CDTF">2019-07-22T14:15:00Z</dcterms:created>
  <dcterms:modified xsi:type="dcterms:W3CDTF">2019-07-22T14:15:00Z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0x010100258AA79CEB83498886A3A086811232500004F5546E6268474DADBF6F96B2F8F985</vt:lpwstr>
  </property>
</Properties>
</file>