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7181" w14:textId="77777777" w:rsidR="00DB2952" w:rsidRPr="009F4C1D" w:rsidRDefault="00DB2952" w:rsidP="009F4C1D">
      <w:pPr>
        <w:jc w:val="center"/>
        <w:rPr>
          <w:b/>
          <w:sz w:val="24"/>
          <w:szCs w:val="24"/>
          <w:lang w:val="en-GB"/>
        </w:rPr>
      </w:pPr>
      <w:r w:rsidRPr="009F4C1D">
        <w:rPr>
          <w:b/>
          <w:sz w:val="24"/>
          <w:szCs w:val="24"/>
          <w:lang w:val="en-GB"/>
        </w:rPr>
        <w:t>Second meeting of the InvestEU Risk Expert Group</w:t>
      </w:r>
    </w:p>
    <w:p w14:paraId="01CA6A63" w14:textId="77777777" w:rsidR="00DB2952" w:rsidRPr="009F4C1D" w:rsidRDefault="00DB2952" w:rsidP="009F4C1D">
      <w:pPr>
        <w:jc w:val="center"/>
        <w:rPr>
          <w:i/>
          <w:sz w:val="24"/>
          <w:szCs w:val="24"/>
          <w:lang w:val="en-GB"/>
        </w:rPr>
      </w:pPr>
      <w:r w:rsidRPr="009F4C1D">
        <w:rPr>
          <w:i/>
          <w:sz w:val="24"/>
          <w:szCs w:val="24"/>
          <w:lang w:val="en-GB"/>
        </w:rPr>
        <w:t>Brussels, 3</w:t>
      </w:r>
      <w:r w:rsidRPr="009F4C1D">
        <w:rPr>
          <w:i/>
          <w:sz w:val="24"/>
          <w:szCs w:val="24"/>
          <w:vertAlign w:val="superscript"/>
          <w:lang w:val="en-GB"/>
        </w:rPr>
        <w:t>rd</w:t>
      </w:r>
      <w:r w:rsidRPr="009F4C1D">
        <w:rPr>
          <w:i/>
          <w:sz w:val="24"/>
          <w:szCs w:val="24"/>
          <w:lang w:val="en-GB"/>
        </w:rPr>
        <w:t xml:space="preserve"> </w:t>
      </w:r>
      <w:proofErr w:type="gramStart"/>
      <w:r w:rsidRPr="009F4C1D">
        <w:rPr>
          <w:i/>
          <w:sz w:val="24"/>
          <w:szCs w:val="24"/>
          <w:lang w:val="en-GB"/>
        </w:rPr>
        <w:t>December,</w:t>
      </w:r>
      <w:proofErr w:type="gramEnd"/>
      <w:r w:rsidRPr="009F4C1D">
        <w:rPr>
          <w:i/>
          <w:sz w:val="24"/>
          <w:szCs w:val="24"/>
          <w:lang w:val="en-GB"/>
        </w:rPr>
        <w:t xml:space="preserve"> 2019</w:t>
      </w:r>
    </w:p>
    <w:p w14:paraId="4D6009A4" w14:textId="601AA039" w:rsidR="00DB2952" w:rsidRDefault="00DB2952" w:rsidP="002D05D6">
      <w:pPr>
        <w:jc w:val="both"/>
        <w:rPr>
          <w:sz w:val="24"/>
          <w:szCs w:val="24"/>
          <w:lang w:val="en-GB"/>
        </w:rPr>
      </w:pPr>
    </w:p>
    <w:p w14:paraId="78819B9F" w14:textId="6C68BEFF" w:rsidR="00BE1A9B" w:rsidRPr="00BE1A9B" w:rsidRDefault="00BE1A9B" w:rsidP="00BE1A9B">
      <w:pPr>
        <w:jc w:val="both"/>
        <w:rPr>
          <w:i/>
          <w:sz w:val="24"/>
          <w:szCs w:val="24"/>
          <w:lang w:val="en-GB"/>
        </w:rPr>
      </w:pPr>
      <w:r w:rsidRPr="00BE1A9B">
        <w:rPr>
          <w:b/>
          <w:i/>
          <w:sz w:val="24"/>
          <w:szCs w:val="24"/>
          <w:lang w:val="en-GB"/>
        </w:rPr>
        <w:t xml:space="preserve">Participants: </w:t>
      </w:r>
      <w:r>
        <w:rPr>
          <w:i/>
          <w:sz w:val="24"/>
          <w:szCs w:val="24"/>
          <w:lang w:val="en-GB"/>
        </w:rPr>
        <w:t xml:space="preserve">Adam </w:t>
      </w:r>
      <w:proofErr w:type="spellStart"/>
      <w:r>
        <w:rPr>
          <w:i/>
          <w:sz w:val="24"/>
          <w:szCs w:val="24"/>
          <w:lang w:val="en-GB"/>
        </w:rPr>
        <w:t>Matanyi</w:t>
      </w:r>
      <w:proofErr w:type="spellEnd"/>
      <w:r>
        <w:rPr>
          <w:i/>
          <w:sz w:val="24"/>
          <w:szCs w:val="24"/>
          <w:lang w:val="en-GB"/>
        </w:rPr>
        <w:t xml:space="preserve"> (MFB), Agnieszka Falkowska and </w:t>
      </w:r>
      <w:r w:rsidRPr="00BE1A9B">
        <w:rPr>
          <w:i/>
          <w:sz w:val="24"/>
          <w:szCs w:val="24"/>
          <w:lang w:val="en-GB"/>
        </w:rPr>
        <w:t>Michał Łukaszewski</w:t>
      </w:r>
      <w:r>
        <w:rPr>
          <w:i/>
          <w:sz w:val="24"/>
          <w:szCs w:val="24"/>
          <w:lang w:val="en-GB"/>
        </w:rPr>
        <w:t xml:space="preserve"> (BGK), Jose Miguel </w:t>
      </w:r>
      <w:r w:rsidRPr="00BE1A9B">
        <w:rPr>
          <w:i/>
          <w:sz w:val="24"/>
          <w:szCs w:val="24"/>
          <w:lang w:val="en-GB"/>
        </w:rPr>
        <w:t>Molina Foncea</w:t>
      </w:r>
      <w:r>
        <w:rPr>
          <w:i/>
          <w:sz w:val="24"/>
          <w:szCs w:val="24"/>
          <w:lang w:val="en-GB"/>
        </w:rPr>
        <w:t xml:space="preserve"> (ICO), Jaakko </w:t>
      </w:r>
      <w:proofErr w:type="spellStart"/>
      <w:r w:rsidRPr="00BE1A9B">
        <w:rPr>
          <w:i/>
          <w:sz w:val="24"/>
          <w:szCs w:val="24"/>
          <w:lang w:val="en-GB"/>
        </w:rPr>
        <w:t>Louekari</w:t>
      </w:r>
      <w:proofErr w:type="spellEnd"/>
      <w:r>
        <w:rPr>
          <w:i/>
          <w:sz w:val="24"/>
          <w:szCs w:val="24"/>
          <w:lang w:val="en-GB"/>
        </w:rPr>
        <w:t xml:space="preserve"> (NIB), Ray </w:t>
      </w:r>
      <w:r w:rsidRPr="00BE1A9B">
        <w:rPr>
          <w:i/>
          <w:sz w:val="24"/>
          <w:szCs w:val="24"/>
          <w:lang w:val="en-GB"/>
        </w:rPr>
        <w:t>Mangan</w:t>
      </w:r>
      <w:r>
        <w:rPr>
          <w:i/>
          <w:sz w:val="24"/>
          <w:szCs w:val="24"/>
          <w:lang w:val="en-GB"/>
        </w:rPr>
        <w:t xml:space="preserve"> (SBCI), </w:t>
      </w:r>
      <w:proofErr w:type="spellStart"/>
      <w:r>
        <w:rPr>
          <w:i/>
          <w:sz w:val="24"/>
          <w:szCs w:val="24"/>
          <w:lang w:val="en-GB"/>
        </w:rPr>
        <w:t>Soline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Dumontier</w:t>
      </w:r>
      <w:proofErr w:type="spellEnd"/>
      <w:r>
        <w:rPr>
          <w:i/>
          <w:sz w:val="24"/>
          <w:szCs w:val="24"/>
          <w:lang w:val="en-GB"/>
        </w:rPr>
        <w:t xml:space="preserve"> (CDC), </w:t>
      </w:r>
      <w:proofErr w:type="spellStart"/>
      <w:r>
        <w:rPr>
          <w:i/>
          <w:sz w:val="24"/>
          <w:szCs w:val="24"/>
          <w:lang w:val="en-GB"/>
        </w:rPr>
        <w:t>Ondrej</w:t>
      </w:r>
      <w:proofErr w:type="spellEnd"/>
      <w:r>
        <w:rPr>
          <w:i/>
          <w:sz w:val="24"/>
          <w:szCs w:val="24"/>
          <w:lang w:val="en-GB"/>
        </w:rPr>
        <w:t xml:space="preserve"> </w:t>
      </w:r>
      <w:r w:rsidRPr="00BE1A9B">
        <w:rPr>
          <w:i/>
          <w:sz w:val="24"/>
          <w:szCs w:val="24"/>
          <w:lang w:val="en-GB"/>
        </w:rPr>
        <w:t>Mates</w:t>
      </w:r>
      <w:r>
        <w:rPr>
          <w:i/>
          <w:sz w:val="24"/>
          <w:szCs w:val="24"/>
          <w:lang w:val="en-GB"/>
        </w:rPr>
        <w:t xml:space="preserve"> (EIB), Nicola Baggio (EIB), José Abos (EIB), Steven De </w:t>
      </w:r>
      <w:proofErr w:type="spellStart"/>
      <w:r>
        <w:rPr>
          <w:i/>
          <w:sz w:val="24"/>
          <w:szCs w:val="24"/>
          <w:lang w:val="en-GB"/>
        </w:rPr>
        <w:t>Gruyter</w:t>
      </w:r>
      <w:proofErr w:type="spellEnd"/>
      <w:r>
        <w:rPr>
          <w:i/>
          <w:sz w:val="24"/>
          <w:szCs w:val="24"/>
          <w:lang w:val="en-GB"/>
        </w:rPr>
        <w:t xml:space="preserve"> (EIB), Denis </w:t>
      </w:r>
      <w:proofErr w:type="spellStart"/>
      <w:r>
        <w:rPr>
          <w:i/>
          <w:sz w:val="24"/>
          <w:szCs w:val="24"/>
          <w:lang w:val="en-GB"/>
        </w:rPr>
        <w:t>Weerts</w:t>
      </w:r>
      <w:proofErr w:type="spellEnd"/>
      <w:r>
        <w:rPr>
          <w:i/>
          <w:sz w:val="24"/>
          <w:szCs w:val="24"/>
          <w:lang w:val="en-GB"/>
        </w:rPr>
        <w:t xml:space="preserve"> (CEB), Michel </w:t>
      </w:r>
      <w:proofErr w:type="spellStart"/>
      <w:r w:rsidRPr="00BE1A9B">
        <w:rPr>
          <w:i/>
          <w:sz w:val="24"/>
          <w:szCs w:val="24"/>
          <w:lang w:val="en-GB"/>
        </w:rPr>
        <w:t>Käsmacher</w:t>
      </w:r>
      <w:proofErr w:type="spellEnd"/>
      <w:r>
        <w:rPr>
          <w:i/>
          <w:sz w:val="24"/>
          <w:szCs w:val="24"/>
          <w:lang w:val="en-GB"/>
        </w:rPr>
        <w:t xml:space="preserve"> (</w:t>
      </w:r>
      <w:proofErr w:type="spellStart"/>
      <w:r>
        <w:rPr>
          <w:i/>
          <w:sz w:val="24"/>
          <w:szCs w:val="24"/>
          <w:lang w:val="en-GB"/>
        </w:rPr>
        <w:t>KfW</w:t>
      </w:r>
      <w:proofErr w:type="spellEnd"/>
      <w:r>
        <w:rPr>
          <w:i/>
          <w:sz w:val="24"/>
          <w:szCs w:val="24"/>
          <w:lang w:val="en-GB"/>
        </w:rPr>
        <w:t xml:space="preserve">), </w:t>
      </w:r>
      <w:proofErr w:type="spellStart"/>
      <w:r>
        <w:rPr>
          <w:i/>
          <w:sz w:val="24"/>
          <w:szCs w:val="24"/>
          <w:lang w:val="en-GB"/>
        </w:rPr>
        <w:t>Lipo</w:t>
      </w:r>
      <w:proofErr w:type="spellEnd"/>
      <w:r>
        <w:rPr>
          <w:i/>
          <w:sz w:val="24"/>
          <w:szCs w:val="24"/>
          <w:lang w:val="en-GB"/>
        </w:rPr>
        <w:t xml:space="preserve"> </w:t>
      </w:r>
      <w:r w:rsidRPr="00BE1A9B">
        <w:rPr>
          <w:i/>
          <w:sz w:val="24"/>
          <w:szCs w:val="24"/>
          <w:lang w:val="en-GB"/>
        </w:rPr>
        <w:t>Jokinen</w:t>
      </w:r>
      <w:r>
        <w:rPr>
          <w:i/>
          <w:sz w:val="24"/>
          <w:szCs w:val="24"/>
          <w:lang w:val="en-GB"/>
        </w:rPr>
        <w:t xml:space="preserve"> (</w:t>
      </w:r>
      <w:proofErr w:type="spellStart"/>
      <w:r>
        <w:rPr>
          <w:i/>
          <w:sz w:val="24"/>
          <w:szCs w:val="24"/>
          <w:lang w:val="en-GB"/>
        </w:rPr>
        <w:t>Finnvera</w:t>
      </w:r>
      <w:proofErr w:type="spellEnd"/>
      <w:r>
        <w:rPr>
          <w:i/>
          <w:sz w:val="24"/>
          <w:szCs w:val="24"/>
          <w:lang w:val="en-GB"/>
        </w:rPr>
        <w:t xml:space="preserve">), Barry  </w:t>
      </w:r>
      <w:r w:rsidRPr="00BE1A9B">
        <w:rPr>
          <w:i/>
          <w:sz w:val="24"/>
          <w:szCs w:val="24"/>
          <w:lang w:val="en-GB"/>
        </w:rPr>
        <w:t>McGrath</w:t>
      </w:r>
      <w:r>
        <w:rPr>
          <w:i/>
          <w:sz w:val="24"/>
          <w:szCs w:val="24"/>
          <w:lang w:val="en-GB"/>
        </w:rPr>
        <w:t xml:space="preserve"> (EIF), Edwards </w:t>
      </w:r>
      <w:proofErr w:type="spellStart"/>
      <w:r w:rsidRPr="00BE1A9B">
        <w:rPr>
          <w:i/>
          <w:sz w:val="24"/>
          <w:szCs w:val="24"/>
          <w:lang w:val="en-GB"/>
        </w:rPr>
        <w:t>Olding</w:t>
      </w:r>
      <w:proofErr w:type="spellEnd"/>
      <w:r>
        <w:rPr>
          <w:i/>
          <w:sz w:val="24"/>
          <w:szCs w:val="24"/>
          <w:lang w:val="en-GB"/>
        </w:rPr>
        <w:t xml:space="preserve"> (EIF)</w:t>
      </w:r>
    </w:p>
    <w:p w14:paraId="5F8C6145" w14:textId="0474BCA2" w:rsidR="00BE1A9B" w:rsidRPr="00BE1A9B" w:rsidRDefault="00BE1A9B" w:rsidP="00BE1A9B">
      <w:pPr>
        <w:jc w:val="both"/>
        <w:rPr>
          <w:i/>
          <w:sz w:val="24"/>
          <w:szCs w:val="24"/>
          <w:lang w:val="en-GB"/>
        </w:rPr>
      </w:pPr>
      <w:r w:rsidRPr="00BE1A9B">
        <w:rPr>
          <w:b/>
          <w:i/>
          <w:sz w:val="24"/>
          <w:szCs w:val="24"/>
          <w:lang w:val="en-GB"/>
        </w:rPr>
        <w:t xml:space="preserve">Commission: </w:t>
      </w:r>
      <w:r w:rsidRPr="00BE1A9B">
        <w:rPr>
          <w:i/>
          <w:sz w:val="24"/>
          <w:szCs w:val="24"/>
          <w:lang w:val="en-GB"/>
        </w:rPr>
        <w:t>CHIARION CASONI Giorgio</w:t>
      </w:r>
      <w:r>
        <w:rPr>
          <w:i/>
          <w:sz w:val="24"/>
          <w:szCs w:val="24"/>
          <w:lang w:val="en-GB"/>
        </w:rPr>
        <w:t xml:space="preserve"> (ECFIN), </w:t>
      </w:r>
      <w:r w:rsidRPr="00BE1A9B">
        <w:rPr>
          <w:i/>
          <w:sz w:val="24"/>
          <w:szCs w:val="24"/>
          <w:lang w:val="en-GB"/>
        </w:rPr>
        <w:t>FISCHER Andreas (ECFIN)</w:t>
      </w:r>
      <w:r>
        <w:rPr>
          <w:i/>
          <w:sz w:val="24"/>
          <w:szCs w:val="24"/>
          <w:lang w:val="en-GB"/>
        </w:rPr>
        <w:t>, TANASA Alina (ECFIN), QUERO MUSSOT Antoine (BUDG), DE RYCKE Frederic</w:t>
      </w:r>
      <w:r w:rsidRPr="00BE1A9B">
        <w:rPr>
          <w:i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>(</w:t>
      </w:r>
      <w:r w:rsidRPr="00BE1A9B">
        <w:rPr>
          <w:i/>
          <w:sz w:val="24"/>
          <w:szCs w:val="24"/>
          <w:lang w:val="en-GB"/>
        </w:rPr>
        <w:t>BUDG</w:t>
      </w:r>
      <w:r>
        <w:rPr>
          <w:i/>
          <w:sz w:val="24"/>
          <w:szCs w:val="24"/>
          <w:lang w:val="en-GB"/>
        </w:rPr>
        <w:t xml:space="preserve">), STRIUNGYTE </w:t>
      </w:r>
      <w:proofErr w:type="spellStart"/>
      <w:r>
        <w:rPr>
          <w:i/>
          <w:sz w:val="24"/>
          <w:szCs w:val="24"/>
          <w:lang w:val="en-GB"/>
        </w:rPr>
        <w:t>Egle</w:t>
      </w:r>
      <w:proofErr w:type="spellEnd"/>
      <w:r>
        <w:rPr>
          <w:i/>
          <w:sz w:val="24"/>
          <w:szCs w:val="24"/>
          <w:lang w:val="en-GB"/>
        </w:rPr>
        <w:t xml:space="preserve"> (</w:t>
      </w:r>
      <w:r w:rsidRPr="00BE1A9B">
        <w:rPr>
          <w:i/>
          <w:sz w:val="24"/>
          <w:szCs w:val="24"/>
          <w:lang w:val="en-GB"/>
        </w:rPr>
        <w:t>BUDG</w:t>
      </w:r>
      <w:r>
        <w:rPr>
          <w:i/>
          <w:sz w:val="24"/>
          <w:szCs w:val="24"/>
          <w:lang w:val="en-GB"/>
        </w:rPr>
        <w:t>)</w:t>
      </w:r>
    </w:p>
    <w:p w14:paraId="6BF5CA6D" w14:textId="77777777" w:rsidR="00BE1A9B" w:rsidRDefault="00BE1A9B" w:rsidP="002D05D6">
      <w:pPr>
        <w:jc w:val="both"/>
        <w:rPr>
          <w:sz w:val="24"/>
          <w:szCs w:val="24"/>
          <w:lang w:val="en-GB"/>
        </w:rPr>
      </w:pPr>
    </w:p>
    <w:p w14:paraId="785EC2D3" w14:textId="1367F3FF" w:rsidR="00FE5EFB" w:rsidRDefault="002D05D6" w:rsidP="002D05D6">
      <w:pPr>
        <w:jc w:val="both"/>
        <w:rPr>
          <w:sz w:val="24"/>
          <w:szCs w:val="24"/>
          <w:lang w:val="en-GB"/>
        </w:rPr>
      </w:pPr>
      <w:proofErr w:type="gramStart"/>
      <w:r w:rsidRPr="002D05D6">
        <w:rPr>
          <w:sz w:val="24"/>
          <w:szCs w:val="24"/>
          <w:lang w:val="en-GB"/>
        </w:rPr>
        <w:t>COM</w:t>
      </w:r>
      <w:r w:rsidR="00FE5EFB">
        <w:rPr>
          <w:sz w:val="24"/>
          <w:szCs w:val="24"/>
          <w:lang w:val="en-GB"/>
        </w:rPr>
        <w:t xml:space="preserve"> (A</w:t>
      </w:r>
      <w:r w:rsidR="008D07C1">
        <w:rPr>
          <w:sz w:val="24"/>
          <w:szCs w:val="24"/>
          <w:lang w:val="en-GB"/>
        </w:rPr>
        <w:t xml:space="preserve">ndreas </w:t>
      </w:r>
      <w:r w:rsidR="00FE5EFB">
        <w:rPr>
          <w:sz w:val="24"/>
          <w:szCs w:val="24"/>
          <w:lang w:val="en-GB"/>
        </w:rPr>
        <w:t>F</w:t>
      </w:r>
      <w:r w:rsidR="008D07C1">
        <w:rPr>
          <w:sz w:val="24"/>
          <w:szCs w:val="24"/>
          <w:lang w:val="en-GB"/>
        </w:rPr>
        <w:t>ischer</w:t>
      </w:r>
      <w:r w:rsidR="00FE5EFB">
        <w:rPr>
          <w:sz w:val="24"/>
          <w:szCs w:val="24"/>
          <w:lang w:val="en-GB"/>
        </w:rPr>
        <w:t>)</w:t>
      </w:r>
      <w:r w:rsidRPr="002D05D6">
        <w:rPr>
          <w:sz w:val="24"/>
          <w:szCs w:val="24"/>
          <w:lang w:val="en-GB"/>
        </w:rPr>
        <w:t xml:space="preserve"> recalled that the primary objective of the exercise of the WG is to allow the EC to quantify and monitor the aggregate risk-profile of the InvestEU guarantee to ensure that the </w:t>
      </w:r>
      <w:r w:rsidR="00DB2952">
        <w:rPr>
          <w:sz w:val="24"/>
          <w:szCs w:val="24"/>
          <w:lang w:val="en-GB"/>
        </w:rPr>
        <w:t>assets</w:t>
      </w:r>
      <w:r w:rsidRPr="002D05D6">
        <w:rPr>
          <w:sz w:val="24"/>
          <w:szCs w:val="24"/>
          <w:lang w:val="en-GB"/>
        </w:rPr>
        <w:t xml:space="preserve"> set aside in the </w:t>
      </w:r>
      <w:r w:rsidR="003F6A90">
        <w:rPr>
          <w:sz w:val="24"/>
          <w:szCs w:val="24"/>
          <w:lang w:val="en-GB"/>
        </w:rPr>
        <w:t>Common Provisioning</w:t>
      </w:r>
      <w:r w:rsidR="00DB2952">
        <w:rPr>
          <w:sz w:val="24"/>
          <w:szCs w:val="24"/>
          <w:lang w:val="en-GB"/>
        </w:rPr>
        <w:t xml:space="preserve"> Fund</w:t>
      </w:r>
      <w:r w:rsidRPr="002D05D6">
        <w:rPr>
          <w:sz w:val="24"/>
          <w:szCs w:val="24"/>
          <w:lang w:val="en-GB"/>
        </w:rPr>
        <w:t xml:space="preserve"> with a provisioning rate of 40% will not be fully depleted during the lifetime of the guarantee</w:t>
      </w:r>
      <w:r w:rsidR="00DB2952">
        <w:rPr>
          <w:sz w:val="24"/>
          <w:szCs w:val="24"/>
          <w:lang w:val="en-GB"/>
        </w:rPr>
        <w:t xml:space="preserve">, applying a </w:t>
      </w:r>
      <w:r w:rsidR="00A254B9">
        <w:rPr>
          <w:sz w:val="24"/>
          <w:szCs w:val="24"/>
          <w:lang w:val="en-GB"/>
        </w:rPr>
        <w:t>confidence</w:t>
      </w:r>
      <w:r w:rsidR="00DB2952">
        <w:rPr>
          <w:sz w:val="24"/>
          <w:szCs w:val="24"/>
          <w:lang w:val="en-GB"/>
        </w:rPr>
        <w:t xml:space="preserve"> level of 95%</w:t>
      </w:r>
      <w:r w:rsidRPr="002D05D6">
        <w:rPr>
          <w:sz w:val="24"/>
          <w:szCs w:val="24"/>
          <w:lang w:val="en-GB"/>
        </w:rPr>
        <w:t>.</w:t>
      </w:r>
      <w:proofErr w:type="gramEnd"/>
      <w:r w:rsidRPr="002D05D6">
        <w:rPr>
          <w:sz w:val="24"/>
          <w:szCs w:val="24"/>
          <w:lang w:val="en-GB"/>
        </w:rPr>
        <w:t xml:space="preserve"> This requires </w:t>
      </w:r>
      <w:r>
        <w:rPr>
          <w:sz w:val="24"/>
          <w:szCs w:val="24"/>
          <w:lang w:val="en-GB"/>
        </w:rPr>
        <w:t xml:space="preserve">in the first place </w:t>
      </w:r>
      <w:r w:rsidRPr="002D05D6">
        <w:rPr>
          <w:sz w:val="24"/>
          <w:szCs w:val="24"/>
          <w:lang w:val="en-GB"/>
        </w:rPr>
        <w:t>aggregating risk information from the different implementing Partners</w:t>
      </w:r>
      <w:r>
        <w:rPr>
          <w:sz w:val="24"/>
          <w:szCs w:val="24"/>
          <w:lang w:val="en-GB"/>
        </w:rPr>
        <w:t xml:space="preserve"> that use </w:t>
      </w:r>
      <w:r w:rsidRPr="002D05D6">
        <w:rPr>
          <w:sz w:val="24"/>
          <w:szCs w:val="24"/>
          <w:lang w:val="en-GB"/>
        </w:rPr>
        <w:t>different rating metrics and systems</w:t>
      </w:r>
      <w:r>
        <w:rPr>
          <w:sz w:val="24"/>
          <w:szCs w:val="24"/>
          <w:lang w:val="en-GB"/>
        </w:rPr>
        <w:t xml:space="preserve"> and secondly mapping </w:t>
      </w:r>
      <w:r w:rsidRPr="002D05D6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individual </w:t>
      </w:r>
      <w:r w:rsidRPr="002D05D6">
        <w:rPr>
          <w:sz w:val="24"/>
          <w:szCs w:val="24"/>
          <w:lang w:val="en-GB"/>
        </w:rPr>
        <w:t>IPs</w:t>
      </w:r>
      <w:r>
        <w:rPr>
          <w:sz w:val="24"/>
          <w:szCs w:val="24"/>
          <w:lang w:val="en-GB"/>
        </w:rPr>
        <w:t xml:space="preserve"> </w:t>
      </w:r>
      <w:r w:rsidRPr="002D05D6">
        <w:rPr>
          <w:sz w:val="24"/>
          <w:szCs w:val="24"/>
          <w:lang w:val="en-GB"/>
        </w:rPr>
        <w:t>rating scales to a common scale</w:t>
      </w:r>
      <w:r>
        <w:rPr>
          <w:sz w:val="24"/>
          <w:szCs w:val="24"/>
          <w:lang w:val="en-GB"/>
        </w:rPr>
        <w:t xml:space="preserve"> to ensure that</w:t>
      </w:r>
      <w:r w:rsidRPr="002D05D6">
        <w:rPr>
          <w:sz w:val="24"/>
          <w:szCs w:val="24"/>
          <w:lang w:val="en-GB"/>
        </w:rPr>
        <w:t xml:space="preserve"> rating outputs </w:t>
      </w:r>
      <w:r>
        <w:rPr>
          <w:sz w:val="24"/>
          <w:szCs w:val="24"/>
          <w:lang w:val="en-GB"/>
        </w:rPr>
        <w:t>are</w:t>
      </w:r>
      <w:r w:rsidRPr="002D05D6">
        <w:rPr>
          <w:sz w:val="24"/>
          <w:szCs w:val="24"/>
          <w:lang w:val="en-GB"/>
        </w:rPr>
        <w:t xml:space="preserve"> comparable</w:t>
      </w:r>
      <w:r w:rsidR="00DB2952">
        <w:rPr>
          <w:sz w:val="24"/>
          <w:szCs w:val="24"/>
          <w:lang w:val="en-GB"/>
        </w:rPr>
        <w:t xml:space="preserve"> and commonly understood</w:t>
      </w:r>
      <w:r>
        <w:rPr>
          <w:sz w:val="24"/>
          <w:szCs w:val="24"/>
          <w:lang w:val="en-GB"/>
        </w:rPr>
        <w:t>.</w:t>
      </w:r>
    </w:p>
    <w:p w14:paraId="66651F39" w14:textId="00DAFDE3" w:rsidR="002D05D6" w:rsidRDefault="00FE5EFB" w:rsidP="002D05D6">
      <w:pPr>
        <w:jc w:val="both"/>
        <w:rPr>
          <w:sz w:val="24"/>
          <w:szCs w:val="24"/>
          <w:lang w:val="en-GB"/>
        </w:rPr>
      </w:pPr>
      <w:r w:rsidRPr="00FE5EFB">
        <w:rPr>
          <w:sz w:val="24"/>
          <w:szCs w:val="24"/>
          <w:lang w:val="en-GB"/>
        </w:rPr>
        <w:t>The mapping exercise is however not a straightforward process as a direct translation across rating categories</w:t>
      </w:r>
      <w:r w:rsidR="007D6C7B">
        <w:rPr>
          <w:sz w:val="24"/>
          <w:szCs w:val="24"/>
          <w:lang w:val="en-GB"/>
        </w:rPr>
        <w:t xml:space="preserve"> is rarely possible. Andreas Fischer</w:t>
      </w:r>
      <w:r w:rsidR="002D05D6">
        <w:rPr>
          <w:sz w:val="24"/>
          <w:szCs w:val="24"/>
          <w:lang w:val="en-GB"/>
        </w:rPr>
        <w:t xml:space="preserve"> </w:t>
      </w:r>
      <w:r w:rsidR="00DB2952">
        <w:rPr>
          <w:sz w:val="24"/>
          <w:szCs w:val="24"/>
          <w:lang w:val="en-GB"/>
        </w:rPr>
        <w:t>presented the mapping</w:t>
      </w:r>
      <w:r w:rsidR="002D05D6">
        <w:rPr>
          <w:sz w:val="24"/>
          <w:szCs w:val="24"/>
          <w:lang w:val="en-GB"/>
        </w:rPr>
        <w:t xml:space="preserve"> </w:t>
      </w:r>
      <w:r w:rsidR="002D05D6" w:rsidRPr="002D05D6">
        <w:rPr>
          <w:sz w:val="24"/>
          <w:szCs w:val="24"/>
          <w:lang w:val="en-GB"/>
        </w:rPr>
        <w:t xml:space="preserve">methodology </w:t>
      </w:r>
      <w:r w:rsidR="00DB2952">
        <w:rPr>
          <w:sz w:val="24"/>
          <w:szCs w:val="24"/>
          <w:lang w:val="en-GB"/>
        </w:rPr>
        <w:t>described</w:t>
      </w:r>
      <w:r w:rsidR="002D05D6" w:rsidRPr="002D05D6">
        <w:rPr>
          <w:sz w:val="24"/>
          <w:szCs w:val="24"/>
          <w:lang w:val="en-GB"/>
        </w:rPr>
        <w:t xml:space="preserve"> in the GESY Discussion paper</w:t>
      </w:r>
      <w:r w:rsidR="002D05D6" w:rsidRPr="002D05D6">
        <w:rPr>
          <w:rStyle w:val="FootnoteReference"/>
          <w:sz w:val="24"/>
          <w:szCs w:val="24"/>
          <w:lang w:val="en-GB"/>
        </w:rPr>
        <w:footnoteReference w:id="1"/>
      </w:r>
      <w:r w:rsidR="00DB2952">
        <w:rPr>
          <w:sz w:val="24"/>
          <w:szCs w:val="24"/>
          <w:lang w:val="en-GB"/>
        </w:rPr>
        <w:t xml:space="preserve"> as an example</w:t>
      </w:r>
      <w:r w:rsidR="002D05D6">
        <w:rPr>
          <w:sz w:val="24"/>
          <w:szCs w:val="24"/>
          <w:lang w:val="en-GB"/>
        </w:rPr>
        <w:t xml:space="preserve"> - notably in light of the clear description of the mathematical properties of the transition matrix between two rating scales, which </w:t>
      </w:r>
      <w:proofErr w:type="gramStart"/>
      <w:r w:rsidR="002D05D6">
        <w:rPr>
          <w:sz w:val="24"/>
          <w:szCs w:val="24"/>
          <w:lang w:val="en-GB"/>
        </w:rPr>
        <w:t xml:space="preserve">were </w:t>
      </w:r>
      <w:r w:rsidR="00DB2952">
        <w:rPr>
          <w:sz w:val="24"/>
          <w:szCs w:val="24"/>
          <w:lang w:val="en-GB"/>
        </w:rPr>
        <w:t>discussed</w:t>
      </w:r>
      <w:proofErr w:type="gramEnd"/>
      <w:r w:rsidR="002D05D6">
        <w:rPr>
          <w:sz w:val="24"/>
          <w:szCs w:val="24"/>
          <w:lang w:val="en-GB"/>
        </w:rPr>
        <w:t xml:space="preserve">. </w:t>
      </w:r>
      <w:r w:rsidR="007D6C7B">
        <w:rPr>
          <w:sz w:val="24"/>
          <w:szCs w:val="24"/>
          <w:lang w:val="en-GB"/>
        </w:rPr>
        <w:t>Andreas Fischer</w:t>
      </w:r>
      <w:r w:rsidR="002D05D6">
        <w:rPr>
          <w:sz w:val="24"/>
          <w:szCs w:val="24"/>
          <w:lang w:val="en-GB"/>
        </w:rPr>
        <w:t xml:space="preserve"> also </w:t>
      </w:r>
      <w:r>
        <w:rPr>
          <w:sz w:val="24"/>
          <w:szCs w:val="24"/>
          <w:lang w:val="en-GB"/>
        </w:rPr>
        <w:t>pointed</w:t>
      </w:r>
      <w:r w:rsidR="002D05D6">
        <w:rPr>
          <w:sz w:val="24"/>
          <w:szCs w:val="24"/>
          <w:lang w:val="en-GB"/>
        </w:rPr>
        <w:t xml:space="preserve"> out that the likely absence of </w:t>
      </w:r>
      <w:r w:rsidR="002D05D6" w:rsidRPr="002D05D6">
        <w:rPr>
          <w:sz w:val="24"/>
          <w:szCs w:val="24"/>
          <w:lang w:val="en-GB"/>
        </w:rPr>
        <w:t xml:space="preserve">a pool of entities for which ratings on the </w:t>
      </w:r>
      <w:r w:rsidR="002D05D6">
        <w:rPr>
          <w:sz w:val="24"/>
          <w:szCs w:val="24"/>
          <w:lang w:val="en-GB"/>
        </w:rPr>
        <w:t>IPs</w:t>
      </w:r>
      <w:r w:rsidR="002D05D6" w:rsidRPr="002D05D6">
        <w:rPr>
          <w:sz w:val="24"/>
          <w:szCs w:val="24"/>
          <w:lang w:val="en-GB"/>
        </w:rPr>
        <w:t xml:space="preserve"> and the master scale are available</w:t>
      </w:r>
      <w:r w:rsidR="002D05D6">
        <w:rPr>
          <w:sz w:val="24"/>
          <w:szCs w:val="24"/>
          <w:lang w:val="en-GB"/>
        </w:rPr>
        <w:t xml:space="preserve"> is a clear limitation for the application </w:t>
      </w:r>
      <w:r>
        <w:rPr>
          <w:sz w:val="24"/>
          <w:szCs w:val="24"/>
          <w:lang w:val="en-GB"/>
        </w:rPr>
        <w:t xml:space="preserve">to InvestEU </w:t>
      </w:r>
      <w:r w:rsidR="002D05D6">
        <w:rPr>
          <w:sz w:val="24"/>
          <w:szCs w:val="24"/>
          <w:lang w:val="en-GB"/>
        </w:rPr>
        <w:t xml:space="preserve">of the approach presented. Finding a “common language” for the quantitative comparison of the individual risk assessments would require the IPs to provide COM with the </w:t>
      </w:r>
      <w:r w:rsidR="00DB2952">
        <w:rPr>
          <w:sz w:val="24"/>
          <w:szCs w:val="24"/>
          <w:lang w:val="en-GB"/>
        </w:rPr>
        <w:t xml:space="preserve">upper/lower bounds for the </w:t>
      </w:r>
      <w:r w:rsidR="002D05D6">
        <w:rPr>
          <w:sz w:val="24"/>
          <w:szCs w:val="24"/>
          <w:lang w:val="en-GB"/>
        </w:rPr>
        <w:t xml:space="preserve">Probability of Default (PD) </w:t>
      </w:r>
      <w:r w:rsidR="00DB2952">
        <w:rPr>
          <w:sz w:val="24"/>
          <w:szCs w:val="24"/>
          <w:lang w:val="en-GB"/>
        </w:rPr>
        <w:t xml:space="preserve">on their scale </w:t>
      </w:r>
      <w:r w:rsidR="002D05D6">
        <w:rPr>
          <w:sz w:val="24"/>
          <w:szCs w:val="24"/>
          <w:lang w:val="en-GB"/>
        </w:rPr>
        <w:t>for a given time-</w:t>
      </w:r>
      <w:proofErr w:type="gramStart"/>
      <w:r w:rsidR="002D05D6">
        <w:rPr>
          <w:sz w:val="24"/>
          <w:szCs w:val="24"/>
          <w:lang w:val="en-GB"/>
        </w:rPr>
        <w:t>horizon</w:t>
      </w:r>
      <w:proofErr w:type="gramEnd"/>
      <w:r w:rsidR="002D05D6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The majority of the </w:t>
      </w:r>
      <w:r w:rsidR="00047297">
        <w:rPr>
          <w:sz w:val="24"/>
          <w:szCs w:val="24"/>
          <w:lang w:val="en-GB"/>
        </w:rPr>
        <w:t xml:space="preserve">potential </w:t>
      </w:r>
      <w:r>
        <w:rPr>
          <w:sz w:val="24"/>
          <w:szCs w:val="24"/>
          <w:lang w:val="en-GB"/>
        </w:rPr>
        <w:t>IPs present confirmed they already r</w:t>
      </w:r>
      <w:r w:rsidRPr="002D05D6">
        <w:rPr>
          <w:sz w:val="24"/>
          <w:szCs w:val="24"/>
          <w:lang w:val="en-GB"/>
        </w:rPr>
        <w:t xml:space="preserve">econcile </w:t>
      </w:r>
      <w:r>
        <w:rPr>
          <w:sz w:val="24"/>
          <w:szCs w:val="24"/>
          <w:lang w:val="en-GB"/>
        </w:rPr>
        <w:t>their</w:t>
      </w:r>
      <w:r w:rsidRPr="002D05D6">
        <w:rPr>
          <w:sz w:val="24"/>
          <w:szCs w:val="24"/>
          <w:lang w:val="en-GB"/>
        </w:rPr>
        <w:t xml:space="preserve"> own scale with </w:t>
      </w:r>
      <w:r w:rsidR="00DB2952">
        <w:rPr>
          <w:sz w:val="24"/>
          <w:szCs w:val="24"/>
          <w:lang w:val="en-GB"/>
        </w:rPr>
        <w:t xml:space="preserve">the </w:t>
      </w:r>
      <w:r w:rsidRPr="002D05D6">
        <w:rPr>
          <w:sz w:val="24"/>
          <w:szCs w:val="24"/>
          <w:lang w:val="en-GB"/>
        </w:rPr>
        <w:t xml:space="preserve">Moody’s </w:t>
      </w:r>
      <w:r w:rsidR="00DB2952">
        <w:rPr>
          <w:sz w:val="24"/>
          <w:szCs w:val="24"/>
          <w:lang w:val="en-GB"/>
        </w:rPr>
        <w:t>scale</w:t>
      </w:r>
      <w:r>
        <w:rPr>
          <w:sz w:val="24"/>
          <w:szCs w:val="24"/>
          <w:lang w:val="en-GB"/>
        </w:rPr>
        <w:t xml:space="preserve">, which </w:t>
      </w:r>
      <w:r w:rsidR="00DB2952">
        <w:rPr>
          <w:sz w:val="24"/>
          <w:szCs w:val="24"/>
          <w:lang w:val="en-GB"/>
        </w:rPr>
        <w:t>would therefore qualify</w:t>
      </w:r>
      <w:r>
        <w:rPr>
          <w:sz w:val="24"/>
          <w:szCs w:val="24"/>
          <w:lang w:val="en-GB"/>
        </w:rPr>
        <w:t xml:space="preserve"> as </w:t>
      </w:r>
      <w:r w:rsidR="00DB2952">
        <w:rPr>
          <w:sz w:val="24"/>
          <w:szCs w:val="24"/>
          <w:lang w:val="en-GB"/>
        </w:rPr>
        <w:t xml:space="preserve">a </w:t>
      </w:r>
      <w:r>
        <w:rPr>
          <w:sz w:val="24"/>
          <w:szCs w:val="24"/>
          <w:lang w:val="en-GB"/>
        </w:rPr>
        <w:t xml:space="preserve">master scale. </w:t>
      </w:r>
      <w:r w:rsidR="002D05D6">
        <w:rPr>
          <w:sz w:val="24"/>
          <w:szCs w:val="24"/>
          <w:lang w:val="en-GB"/>
        </w:rPr>
        <w:t xml:space="preserve">Some </w:t>
      </w:r>
      <w:r>
        <w:rPr>
          <w:sz w:val="24"/>
          <w:szCs w:val="24"/>
          <w:lang w:val="en-GB"/>
        </w:rPr>
        <w:t>of the</w:t>
      </w:r>
      <w:r w:rsidR="00DB2952">
        <w:rPr>
          <w:sz w:val="24"/>
          <w:szCs w:val="24"/>
          <w:lang w:val="en-GB"/>
        </w:rPr>
        <w:t xml:space="preserve"> IPs</w:t>
      </w:r>
      <w:r>
        <w:rPr>
          <w:sz w:val="24"/>
          <w:szCs w:val="24"/>
          <w:lang w:val="en-GB"/>
        </w:rPr>
        <w:t xml:space="preserve"> </w:t>
      </w:r>
      <w:r w:rsidR="002D05D6">
        <w:rPr>
          <w:sz w:val="24"/>
          <w:szCs w:val="24"/>
          <w:lang w:val="en-GB"/>
        </w:rPr>
        <w:t xml:space="preserve">(BGK, </w:t>
      </w:r>
      <w:r w:rsidR="00716EA1">
        <w:rPr>
          <w:sz w:val="24"/>
          <w:szCs w:val="24"/>
          <w:lang w:val="en-GB"/>
        </w:rPr>
        <w:t>MFB</w:t>
      </w:r>
      <w:r w:rsidR="002D05D6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 xml:space="preserve">however </w:t>
      </w:r>
      <w:r w:rsidR="002D05D6">
        <w:rPr>
          <w:sz w:val="24"/>
          <w:szCs w:val="24"/>
          <w:lang w:val="en-GB"/>
        </w:rPr>
        <w:t xml:space="preserve">voiced </w:t>
      </w:r>
      <w:r w:rsidR="00DB2952">
        <w:rPr>
          <w:sz w:val="24"/>
          <w:szCs w:val="24"/>
          <w:lang w:val="en-GB"/>
        </w:rPr>
        <w:t>concerns about</w:t>
      </w:r>
      <w:r w:rsidR="002D05D6">
        <w:rPr>
          <w:sz w:val="24"/>
          <w:szCs w:val="24"/>
          <w:lang w:val="en-GB"/>
        </w:rPr>
        <w:t xml:space="preserve"> disclo</w:t>
      </w:r>
      <w:r w:rsidR="00DB2952">
        <w:rPr>
          <w:sz w:val="24"/>
          <w:szCs w:val="24"/>
          <w:lang w:val="en-GB"/>
        </w:rPr>
        <w:t>sing</w:t>
      </w:r>
      <w:r w:rsidR="002D05D6">
        <w:rPr>
          <w:sz w:val="24"/>
          <w:szCs w:val="24"/>
          <w:lang w:val="en-GB"/>
        </w:rPr>
        <w:t xml:space="preserve"> </w:t>
      </w:r>
      <w:r w:rsidR="00DB2952">
        <w:rPr>
          <w:sz w:val="24"/>
          <w:szCs w:val="24"/>
          <w:lang w:val="en-GB"/>
        </w:rPr>
        <w:t xml:space="preserve">detailed </w:t>
      </w:r>
      <w:r w:rsidR="002D05D6">
        <w:rPr>
          <w:sz w:val="24"/>
          <w:szCs w:val="24"/>
          <w:lang w:val="en-GB"/>
        </w:rPr>
        <w:t>information</w:t>
      </w:r>
      <w:r>
        <w:rPr>
          <w:sz w:val="24"/>
          <w:szCs w:val="24"/>
          <w:lang w:val="en-GB"/>
        </w:rPr>
        <w:t xml:space="preserve"> on PD curves</w:t>
      </w:r>
      <w:r w:rsidR="002D05D6">
        <w:rPr>
          <w:sz w:val="24"/>
          <w:szCs w:val="24"/>
          <w:lang w:val="en-GB"/>
        </w:rPr>
        <w:t xml:space="preserve"> </w:t>
      </w:r>
      <w:r w:rsidR="00DB2952">
        <w:rPr>
          <w:sz w:val="24"/>
          <w:szCs w:val="24"/>
          <w:lang w:val="en-GB"/>
        </w:rPr>
        <w:t>for</w:t>
      </w:r>
      <w:r w:rsidR="002D05D6">
        <w:rPr>
          <w:sz w:val="24"/>
          <w:szCs w:val="24"/>
          <w:lang w:val="en-GB"/>
        </w:rPr>
        <w:t xml:space="preserve"> confidentiality </w:t>
      </w:r>
      <w:r w:rsidR="00DB2952">
        <w:rPr>
          <w:sz w:val="24"/>
          <w:szCs w:val="24"/>
          <w:lang w:val="en-GB"/>
        </w:rPr>
        <w:t>reasons</w:t>
      </w:r>
      <w:r w:rsidR="002D05D6">
        <w:rPr>
          <w:sz w:val="24"/>
          <w:szCs w:val="24"/>
          <w:lang w:val="en-GB"/>
        </w:rPr>
        <w:t xml:space="preserve">. </w:t>
      </w:r>
      <w:r w:rsidR="00DB2952">
        <w:rPr>
          <w:sz w:val="24"/>
          <w:szCs w:val="24"/>
          <w:lang w:val="en-GB"/>
        </w:rPr>
        <w:t xml:space="preserve">This issue </w:t>
      </w:r>
      <w:proofErr w:type="gramStart"/>
      <w:r w:rsidR="00DB2952">
        <w:rPr>
          <w:sz w:val="24"/>
          <w:szCs w:val="24"/>
          <w:lang w:val="en-GB"/>
        </w:rPr>
        <w:t>could be overcome</w:t>
      </w:r>
      <w:proofErr w:type="gramEnd"/>
      <w:r w:rsidR="00DB2952">
        <w:rPr>
          <w:sz w:val="24"/>
          <w:szCs w:val="24"/>
          <w:lang w:val="en-GB"/>
        </w:rPr>
        <w:t>, if the IPs concerned directly provided Moody’s ratings, which would eliminate the need for mapping their scale to master scale.</w:t>
      </w:r>
    </w:p>
    <w:p w14:paraId="506BB03D" w14:textId="402F21C4" w:rsidR="0095374A" w:rsidRDefault="002D05D6" w:rsidP="002D05D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was agreed that A</w:t>
      </w:r>
      <w:r w:rsidR="008D07C1">
        <w:rPr>
          <w:sz w:val="24"/>
          <w:szCs w:val="24"/>
          <w:lang w:val="en-GB"/>
        </w:rPr>
        <w:t xml:space="preserve">ndreas </w:t>
      </w:r>
      <w:r>
        <w:rPr>
          <w:sz w:val="24"/>
          <w:szCs w:val="24"/>
          <w:lang w:val="en-GB"/>
        </w:rPr>
        <w:t>F</w:t>
      </w:r>
      <w:r w:rsidR="008D07C1">
        <w:rPr>
          <w:sz w:val="24"/>
          <w:szCs w:val="24"/>
          <w:lang w:val="en-GB"/>
        </w:rPr>
        <w:t>ischer</w:t>
      </w: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will</w:t>
      </w:r>
      <w:proofErr w:type="gramEnd"/>
      <w:r>
        <w:rPr>
          <w:sz w:val="24"/>
          <w:szCs w:val="24"/>
          <w:lang w:val="en-GB"/>
        </w:rPr>
        <w:t xml:space="preserve"> send a questionnaire to </w:t>
      </w:r>
      <w:r w:rsidR="00047297">
        <w:rPr>
          <w:sz w:val="24"/>
          <w:szCs w:val="24"/>
          <w:lang w:val="en-GB"/>
        </w:rPr>
        <w:t xml:space="preserve">potential </w:t>
      </w:r>
      <w:r>
        <w:rPr>
          <w:sz w:val="24"/>
          <w:szCs w:val="24"/>
          <w:lang w:val="en-GB"/>
        </w:rPr>
        <w:t>IPs</w:t>
      </w:r>
      <w:r w:rsidR="00716EA1">
        <w:rPr>
          <w:sz w:val="24"/>
          <w:szCs w:val="24"/>
          <w:lang w:val="en-GB"/>
        </w:rPr>
        <w:t xml:space="preserve"> by </w:t>
      </w:r>
      <w:r w:rsidR="009F4C1D">
        <w:rPr>
          <w:sz w:val="24"/>
          <w:szCs w:val="24"/>
          <w:lang w:val="en-GB"/>
        </w:rPr>
        <w:t xml:space="preserve">20 </w:t>
      </w:r>
      <w:r w:rsidR="00716EA1">
        <w:rPr>
          <w:sz w:val="24"/>
          <w:szCs w:val="24"/>
          <w:lang w:val="en-GB"/>
        </w:rPr>
        <w:t xml:space="preserve">December </w:t>
      </w:r>
      <w:r>
        <w:rPr>
          <w:sz w:val="24"/>
          <w:szCs w:val="24"/>
          <w:lang w:val="en-GB"/>
        </w:rPr>
        <w:t>to collect input</w:t>
      </w:r>
      <w:r w:rsidR="00FE5EFB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on the main features of the PD over 1 year (number and description of rating classes </w:t>
      </w:r>
      <w:proofErr w:type="spellStart"/>
      <w:r>
        <w:rPr>
          <w:sz w:val="24"/>
          <w:szCs w:val="24"/>
          <w:lang w:val="en-GB"/>
        </w:rPr>
        <w:t>etc</w:t>
      </w:r>
      <w:proofErr w:type="spellEnd"/>
      <w:r>
        <w:rPr>
          <w:sz w:val="24"/>
          <w:szCs w:val="24"/>
          <w:lang w:val="en-GB"/>
        </w:rPr>
        <w:t>, including upper/lower boundaries</w:t>
      </w:r>
      <w:r w:rsidRPr="002D05D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of each rating class to avoid </w:t>
      </w:r>
      <w:r w:rsidR="00DB2952">
        <w:rPr>
          <w:sz w:val="24"/>
          <w:szCs w:val="24"/>
          <w:lang w:val="en-GB"/>
        </w:rPr>
        <w:t xml:space="preserve">the </w:t>
      </w:r>
      <w:r w:rsidR="00A254B9">
        <w:rPr>
          <w:sz w:val="24"/>
          <w:szCs w:val="24"/>
          <w:lang w:val="en-GB"/>
        </w:rPr>
        <w:t>necessity</w:t>
      </w:r>
      <w:r w:rsidR="00DB2952">
        <w:rPr>
          <w:sz w:val="24"/>
          <w:szCs w:val="24"/>
          <w:lang w:val="en-GB"/>
        </w:rPr>
        <w:t xml:space="preserve"> for </w:t>
      </w:r>
      <w:r>
        <w:rPr>
          <w:sz w:val="24"/>
          <w:szCs w:val="24"/>
          <w:lang w:val="en-GB"/>
        </w:rPr>
        <w:t>a</w:t>
      </w:r>
      <w:r w:rsidRPr="002D05D6">
        <w:rPr>
          <w:sz w:val="24"/>
          <w:szCs w:val="24"/>
          <w:lang w:val="en-GB"/>
        </w:rPr>
        <w:t xml:space="preserve"> double-rated pool of entities </w:t>
      </w:r>
      <w:r>
        <w:rPr>
          <w:sz w:val="24"/>
          <w:szCs w:val="24"/>
          <w:lang w:val="en-GB"/>
        </w:rPr>
        <w:t>by IP).</w:t>
      </w:r>
      <w:r w:rsidRPr="002D05D6">
        <w:rPr>
          <w:sz w:val="24"/>
          <w:szCs w:val="24"/>
          <w:lang w:val="en-GB"/>
        </w:rPr>
        <w:t xml:space="preserve"> </w:t>
      </w:r>
      <w:r w:rsidR="00047297">
        <w:rPr>
          <w:sz w:val="24"/>
          <w:szCs w:val="24"/>
          <w:lang w:val="en-GB"/>
        </w:rPr>
        <w:t xml:space="preserve">Potential </w:t>
      </w:r>
      <w:r w:rsidR="00D101B2" w:rsidRPr="00D101B2">
        <w:rPr>
          <w:sz w:val="24"/>
          <w:szCs w:val="24"/>
          <w:lang w:val="en-GB"/>
        </w:rPr>
        <w:t xml:space="preserve">IP will </w:t>
      </w:r>
      <w:r w:rsidR="00DB2952" w:rsidRPr="00D101B2">
        <w:rPr>
          <w:sz w:val="24"/>
          <w:szCs w:val="24"/>
          <w:lang w:val="en-GB"/>
        </w:rPr>
        <w:t xml:space="preserve">then </w:t>
      </w:r>
      <w:r w:rsidR="00D101B2" w:rsidRPr="00D101B2">
        <w:rPr>
          <w:sz w:val="24"/>
          <w:szCs w:val="24"/>
          <w:lang w:val="en-GB"/>
        </w:rPr>
        <w:t>have the choice between mapping their internal system to the master scale according to the defined methodology</w:t>
      </w:r>
      <w:r w:rsidR="00D101B2">
        <w:rPr>
          <w:sz w:val="24"/>
          <w:szCs w:val="24"/>
          <w:lang w:val="en-GB"/>
        </w:rPr>
        <w:t xml:space="preserve"> or asking COM to proceed based on their inputs, possibly complemented by expert judgement in case of less advanced rating systems. </w:t>
      </w:r>
      <w:r w:rsidR="00716EA1">
        <w:rPr>
          <w:sz w:val="24"/>
          <w:szCs w:val="24"/>
          <w:lang w:val="en-GB"/>
        </w:rPr>
        <w:t xml:space="preserve">In all cases, a bilateral discussion will follow to </w:t>
      </w:r>
      <w:r w:rsidR="00716EA1" w:rsidRPr="00716EA1">
        <w:rPr>
          <w:sz w:val="24"/>
          <w:szCs w:val="24"/>
          <w:lang w:val="en-GB"/>
        </w:rPr>
        <w:t xml:space="preserve">ensure that the IP’s internal ratings </w:t>
      </w:r>
      <w:proofErr w:type="gramStart"/>
      <w:r w:rsidR="00716EA1" w:rsidRPr="00716EA1">
        <w:rPr>
          <w:sz w:val="24"/>
          <w:szCs w:val="24"/>
          <w:lang w:val="en-GB"/>
        </w:rPr>
        <w:t>were appropriately mapped</w:t>
      </w:r>
      <w:proofErr w:type="gramEnd"/>
      <w:r w:rsidR="00716EA1" w:rsidRPr="00716EA1">
        <w:rPr>
          <w:sz w:val="24"/>
          <w:szCs w:val="24"/>
          <w:lang w:val="en-GB"/>
        </w:rPr>
        <w:t xml:space="preserve"> to the common master scale.</w:t>
      </w:r>
      <w:r w:rsidR="00716EA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In case </w:t>
      </w:r>
      <w:r w:rsidR="00716EA1">
        <w:rPr>
          <w:sz w:val="24"/>
          <w:szCs w:val="24"/>
          <w:lang w:val="en-GB"/>
        </w:rPr>
        <w:t>PD</w:t>
      </w:r>
      <w:r>
        <w:rPr>
          <w:sz w:val="24"/>
          <w:szCs w:val="24"/>
          <w:lang w:val="en-GB"/>
        </w:rPr>
        <w:t xml:space="preserve"> information </w:t>
      </w:r>
      <w:proofErr w:type="gramStart"/>
      <w:r>
        <w:rPr>
          <w:sz w:val="24"/>
          <w:szCs w:val="24"/>
          <w:lang w:val="en-GB"/>
        </w:rPr>
        <w:t>cannot be disclosed</w:t>
      </w:r>
      <w:proofErr w:type="gramEnd"/>
      <w:r w:rsidR="007D2187" w:rsidRPr="007D2187">
        <w:rPr>
          <w:sz w:val="24"/>
          <w:szCs w:val="24"/>
          <w:lang w:val="en-GB"/>
        </w:rPr>
        <w:t xml:space="preserve"> </w:t>
      </w:r>
      <w:r w:rsidR="007D2187">
        <w:rPr>
          <w:sz w:val="24"/>
          <w:szCs w:val="24"/>
          <w:lang w:val="en-GB"/>
        </w:rPr>
        <w:t>for confidentiality reasons</w:t>
      </w:r>
      <w:r>
        <w:rPr>
          <w:sz w:val="24"/>
          <w:szCs w:val="24"/>
          <w:lang w:val="en-GB"/>
        </w:rPr>
        <w:t>, the Moody’s rating scale will be applied.</w:t>
      </w:r>
      <w:r w:rsidR="00D101B2">
        <w:rPr>
          <w:sz w:val="24"/>
          <w:szCs w:val="24"/>
          <w:lang w:val="en-GB"/>
        </w:rPr>
        <w:t xml:space="preserve"> </w:t>
      </w:r>
    </w:p>
    <w:p w14:paraId="4E54E887" w14:textId="059CF445" w:rsidR="002D05D6" w:rsidRDefault="007D2187" w:rsidP="002D05D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Regarding the </w:t>
      </w:r>
      <w:r w:rsidRPr="007D2187">
        <w:rPr>
          <w:sz w:val="24"/>
          <w:szCs w:val="24"/>
          <w:lang w:val="en-GB"/>
        </w:rPr>
        <w:t xml:space="preserve">Loss-Given-Default (LGD) values, there is neither an obvious common scale nor a commonly accepted standard LGD rate. </w:t>
      </w:r>
      <w:proofErr w:type="gramStart"/>
      <w:r w:rsidR="007D6C7B">
        <w:rPr>
          <w:sz w:val="24"/>
          <w:szCs w:val="24"/>
          <w:lang w:val="en-GB"/>
        </w:rPr>
        <w:t>Andreas Fischer</w:t>
      </w:r>
      <w:r w:rsidRPr="007D2187">
        <w:rPr>
          <w:sz w:val="24"/>
          <w:szCs w:val="24"/>
          <w:lang w:val="en-GB"/>
        </w:rPr>
        <w:t xml:space="preserve"> presented the two available methodological approaches: </w:t>
      </w:r>
      <w:r w:rsidR="00DB2952">
        <w:rPr>
          <w:sz w:val="24"/>
          <w:szCs w:val="24"/>
          <w:lang w:val="en-GB"/>
        </w:rPr>
        <w:t>(1</w:t>
      </w:r>
      <w:r w:rsidRPr="007D2187">
        <w:rPr>
          <w:sz w:val="24"/>
          <w:szCs w:val="24"/>
          <w:lang w:val="en-GB"/>
        </w:rPr>
        <w:t xml:space="preserve">) using the IP’s internally validated and reported LGD at face </w:t>
      </w:r>
      <w:r w:rsidRPr="007D2187">
        <w:rPr>
          <w:sz w:val="24"/>
          <w:szCs w:val="24"/>
          <w:lang w:val="en-GB"/>
        </w:rPr>
        <w:lastRenderedPageBreak/>
        <w:t>value</w:t>
      </w:r>
      <w:r>
        <w:rPr>
          <w:sz w:val="24"/>
          <w:szCs w:val="24"/>
          <w:lang w:val="en-GB"/>
        </w:rPr>
        <w:t>, thus</w:t>
      </w:r>
      <w:r w:rsidRPr="007D2187">
        <w:rPr>
          <w:sz w:val="24"/>
          <w:szCs w:val="24"/>
          <w:lang w:val="en-GB"/>
        </w:rPr>
        <w:t xml:space="preserve"> fully relying on the expert judgement and internal validation of the IP in line with the delegation framework or </w:t>
      </w:r>
      <w:r w:rsidR="00DB2952">
        <w:rPr>
          <w:sz w:val="24"/>
          <w:szCs w:val="24"/>
          <w:lang w:val="en-GB"/>
        </w:rPr>
        <w:t>(2</w:t>
      </w:r>
      <w:r w:rsidRPr="007D2187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 xml:space="preserve">using </w:t>
      </w:r>
      <w:r w:rsidRPr="007D2187">
        <w:rPr>
          <w:sz w:val="24"/>
          <w:szCs w:val="24"/>
          <w:lang w:val="en-GB"/>
        </w:rPr>
        <w:t xml:space="preserve">one-size fits-all LGD </w:t>
      </w:r>
      <w:r>
        <w:rPr>
          <w:sz w:val="24"/>
          <w:szCs w:val="24"/>
          <w:lang w:val="en-GB"/>
        </w:rPr>
        <w:t xml:space="preserve">(based on </w:t>
      </w:r>
      <w:r w:rsidR="00DB2952">
        <w:rPr>
          <w:sz w:val="24"/>
          <w:szCs w:val="24"/>
          <w:lang w:val="en-GB"/>
        </w:rPr>
        <w:t xml:space="preserve">a </w:t>
      </w:r>
      <w:r>
        <w:rPr>
          <w:sz w:val="24"/>
          <w:szCs w:val="24"/>
          <w:lang w:val="en-GB"/>
        </w:rPr>
        <w:t>benchmark</w:t>
      </w:r>
      <w:r w:rsidR="00DB2952">
        <w:rPr>
          <w:sz w:val="24"/>
          <w:szCs w:val="24"/>
          <w:lang w:val="en-GB"/>
        </w:rPr>
        <w:t>, for example,</w:t>
      </w:r>
      <w:r>
        <w:rPr>
          <w:sz w:val="24"/>
          <w:szCs w:val="24"/>
          <w:lang w:val="en-GB"/>
        </w:rPr>
        <w:t xml:space="preserve"> </w:t>
      </w:r>
      <w:r w:rsidRPr="007D2187">
        <w:rPr>
          <w:sz w:val="24"/>
          <w:szCs w:val="24"/>
          <w:lang w:val="en-GB"/>
        </w:rPr>
        <w:t>Basel’s 55% for senior debt and 25% for subordinated debt</w:t>
      </w:r>
      <w:r>
        <w:rPr>
          <w:sz w:val="24"/>
          <w:szCs w:val="24"/>
          <w:lang w:val="en-GB"/>
        </w:rPr>
        <w:t>)</w:t>
      </w:r>
      <w:r w:rsidRPr="007D2187">
        <w:rPr>
          <w:sz w:val="24"/>
          <w:szCs w:val="24"/>
          <w:lang w:val="en-GB"/>
        </w:rPr>
        <w:t xml:space="preserve"> to ensure </w:t>
      </w:r>
      <w:r>
        <w:rPr>
          <w:sz w:val="24"/>
          <w:szCs w:val="24"/>
          <w:lang w:val="en-GB"/>
        </w:rPr>
        <w:t xml:space="preserve">a </w:t>
      </w:r>
      <w:r w:rsidRPr="007D2187">
        <w:rPr>
          <w:sz w:val="24"/>
          <w:szCs w:val="24"/>
          <w:lang w:val="en-GB"/>
        </w:rPr>
        <w:t>consistent and comparable treatment.</w:t>
      </w:r>
      <w:proofErr w:type="gramEnd"/>
      <w:r w:rsidRPr="007D2187">
        <w:rPr>
          <w:sz w:val="24"/>
          <w:szCs w:val="24"/>
          <w:lang w:val="en-GB"/>
        </w:rPr>
        <w:t xml:space="preserve"> Some IPs </w:t>
      </w:r>
      <w:r w:rsidR="003F6A90">
        <w:rPr>
          <w:sz w:val="24"/>
          <w:szCs w:val="24"/>
          <w:lang w:val="en-GB"/>
        </w:rPr>
        <w:t xml:space="preserve">highlighted </w:t>
      </w:r>
      <w:r w:rsidR="001C0B79">
        <w:rPr>
          <w:sz w:val="24"/>
          <w:szCs w:val="24"/>
          <w:lang w:val="en-GB"/>
        </w:rPr>
        <w:t>potential</w:t>
      </w:r>
      <w:r w:rsidR="003F6A90">
        <w:rPr>
          <w:sz w:val="24"/>
          <w:szCs w:val="24"/>
          <w:lang w:val="en-GB"/>
        </w:rPr>
        <w:t xml:space="preserve"> </w:t>
      </w:r>
      <w:r w:rsidRPr="007D2187">
        <w:rPr>
          <w:sz w:val="24"/>
          <w:szCs w:val="24"/>
          <w:lang w:val="en-GB"/>
        </w:rPr>
        <w:t xml:space="preserve">risks </w:t>
      </w:r>
      <w:r w:rsidR="00716EA1">
        <w:rPr>
          <w:sz w:val="24"/>
          <w:szCs w:val="24"/>
          <w:lang w:val="en-GB"/>
        </w:rPr>
        <w:t xml:space="preserve">stemming from </w:t>
      </w:r>
      <w:r w:rsidRPr="007D2187">
        <w:rPr>
          <w:sz w:val="24"/>
          <w:szCs w:val="24"/>
          <w:lang w:val="en-GB"/>
        </w:rPr>
        <w:t>the delegation framework</w:t>
      </w:r>
      <w:r w:rsidR="00716EA1">
        <w:rPr>
          <w:sz w:val="24"/>
          <w:szCs w:val="24"/>
          <w:lang w:val="en-GB"/>
        </w:rPr>
        <w:t xml:space="preserve"> where there might be an incentive for the IPs to better rate their portfolio in order to benefit from a lower price of the guarantee, in absence of </w:t>
      </w:r>
      <w:r>
        <w:rPr>
          <w:sz w:val="24"/>
          <w:szCs w:val="24"/>
          <w:lang w:val="en-GB"/>
        </w:rPr>
        <w:t xml:space="preserve">any quality control of </w:t>
      </w:r>
      <w:r w:rsidR="00716EA1">
        <w:rPr>
          <w:sz w:val="24"/>
          <w:szCs w:val="24"/>
          <w:lang w:val="en-GB"/>
        </w:rPr>
        <w:t xml:space="preserve">the different (and non-comparable) </w:t>
      </w:r>
      <w:r>
        <w:rPr>
          <w:sz w:val="24"/>
          <w:szCs w:val="24"/>
          <w:lang w:val="en-GB"/>
        </w:rPr>
        <w:t xml:space="preserve">LGD outputs. The EIB </w:t>
      </w:r>
      <w:r w:rsidR="00047297">
        <w:rPr>
          <w:sz w:val="24"/>
          <w:szCs w:val="24"/>
          <w:lang w:val="en-GB"/>
        </w:rPr>
        <w:t xml:space="preserve">supported the delegation model and emphasised that as long as an alignment of interest between the COM and the IP is ensured, </w:t>
      </w:r>
      <w:r w:rsidR="00716EA1">
        <w:rPr>
          <w:sz w:val="24"/>
          <w:szCs w:val="24"/>
          <w:lang w:val="en-GB"/>
        </w:rPr>
        <w:t xml:space="preserve">the latter will rate entities as if the guarantee was not </w:t>
      </w:r>
      <w:proofErr w:type="gramStart"/>
      <w:r w:rsidR="00716EA1">
        <w:rPr>
          <w:sz w:val="24"/>
          <w:szCs w:val="24"/>
          <w:lang w:val="en-GB"/>
        </w:rPr>
        <w:t>there</w:t>
      </w:r>
      <w:proofErr w:type="gramEnd"/>
      <w:r w:rsidR="00716EA1">
        <w:rPr>
          <w:sz w:val="24"/>
          <w:szCs w:val="24"/>
          <w:lang w:val="en-GB"/>
        </w:rPr>
        <w:t xml:space="preserve"> as they</w:t>
      </w:r>
      <w:r w:rsidR="00047297">
        <w:rPr>
          <w:sz w:val="24"/>
          <w:szCs w:val="24"/>
          <w:lang w:val="en-GB"/>
        </w:rPr>
        <w:t xml:space="preserve"> will have no incentive t</w:t>
      </w:r>
      <w:r w:rsidR="00716EA1">
        <w:rPr>
          <w:sz w:val="24"/>
          <w:szCs w:val="24"/>
          <w:lang w:val="en-GB"/>
        </w:rPr>
        <w:t>o “cheat” on a systematic basis</w:t>
      </w:r>
      <w:r w:rsidR="00047297">
        <w:rPr>
          <w:sz w:val="24"/>
          <w:szCs w:val="24"/>
          <w:lang w:val="en-GB"/>
        </w:rPr>
        <w:t xml:space="preserve">. </w:t>
      </w:r>
      <w:r w:rsidR="00716EA1">
        <w:rPr>
          <w:sz w:val="24"/>
          <w:szCs w:val="24"/>
          <w:lang w:val="en-GB"/>
        </w:rPr>
        <w:t xml:space="preserve">Furthermore, any other LGD model departing from the one in use by the single IPs is prone to raise additional costs to participate in InvestEU. </w:t>
      </w:r>
      <w:r w:rsidR="00047297">
        <w:rPr>
          <w:sz w:val="24"/>
          <w:szCs w:val="24"/>
          <w:lang w:val="en-GB"/>
        </w:rPr>
        <w:t xml:space="preserve">Other potential IPs recalled the Risk department </w:t>
      </w:r>
      <w:r w:rsidR="00716EA1">
        <w:rPr>
          <w:sz w:val="24"/>
          <w:szCs w:val="24"/>
          <w:lang w:val="en-GB"/>
        </w:rPr>
        <w:t xml:space="preserve">of any bank </w:t>
      </w:r>
      <w:r w:rsidR="00047297">
        <w:rPr>
          <w:sz w:val="24"/>
          <w:szCs w:val="24"/>
          <w:lang w:val="en-GB"/>
        </w:rPr>
        <w:t xml:space="preserve">is first liable to </w:t>
      </w:r>
      <w:r w:rsidR="00716EA1">
        <w:rPr>
          <w:sz w:val="24"/>
          <w:szCs w:val="24"/>
          <w:lang w:val="en-GB"/>
        </w:rPr>
        <w:t>its</w:t>
      </w:r>
      <w:r w:rsidR="00047297">
        <w:rPr>
          <w:sz w:val="24"/>
          <w:szCs w:val="24"/>
          <w:lang w:val="en-GB"/>
        </w:rPr>
        <w:t xml:space="preserve"> </w:t>
      </w:r>
      <w:r w:rsidR="00716EA1">
        <w:rPr>
          <w:sz w:val="24"/>
          <w:szCs w:val="24"/>
          <w:lang w:val="en-GB"/>
        </w:rPr>
        <w:t xml:space="preserve">Management </w:t>
      </w:r>
      <w:r w:rsidR="00047297">
        <w:rPr>
          <w:sz w:val="24"/>
          <w:szCs w:val="24"/>
          <w:lang w:val="en-GB"/>
        </w:rPr>
        <w:t xml:space="preserve">Board, so </w:t>
      </w:r>
      <w:r w:rsidR="00716EA1">
        <w:rPr>
          <w:sz w:val="24"/>
          <w:szCs w:val="24"/>
          <w:lang w:val="en-GB"/>
        </w:rPr>
        <w:t>“</w:t>
      </w:r>
      <w:r w:rsidR="00047297">
        <w:rPr>
          <w:sz w:val="24"/>
          <w:szCs w:val="24"/>
          <w:lang w:val="en-GB"/>
        </w:rPr>
        <w:t>cheating</w:t>
      </w:r>
      <w:r w:rsidR="00716EA1">
        <w:rPr>
          <w:sz w:val="24"/>
          <w:szCs w:val="24"/>
          <w:lang w:val="en-GB"/>
        </w:rPr>
        <w:t>”</w:t>
      </w:r>
      <w:r w:rsidR="00047297">
        <w:rPr>
          <w:sz w:val="24"/>
          <w:szCs w:val="24"/>
          <w:lang w:val="en-GB"/>
        </w:rPr>
        <w:t xml:space="preserve"> is not a real option. It </w:t>
      </w:r>
      <w:proofErr w:type="gramStart"/>
      <w:r w:rsidR="00047297">
        <w:rPr>
          <w:sz w:val="24"/>
          <w:szCs w:val="24"/>
          <w:lang w:val="en-GB"/>
        </w:rPr>
        <w:t>was agreed</w:t>
      </w:r>
      <w:proofErr w:type="gramEnd"/>
      <w:r w:rsidR="00047297">
        <w:rPr>
          <w:sz w:val="24"/>
          <w:szCs w:val="24"/>
          <w:lang w:val="en-GB"/>
        </w:rPr>
        <w:t xml:space="preserve"> that </w:t>
      </w:r>
      <w:r w:rsidR="00716EA1">
        <w:rPr>
          <w:sz w:val="24"/>
          <w:szCs w:val="24"/>
          <w:lang w:val="en-GB"/>
        </w:rPr>
        <w:t>the delegation model (Option 1) is to be preferred.</w:t>
      </w:r>
    </w:p>
    <w:p w14:paraId="2A69711D" w14:textId="6EB770E9" w:rsidR="00716EA1" w:rsidRDefault="00716EA1" w:rsidP="002D05D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Regarding the note on the Risk Methodological Framework circulated to potential IPs for comments, the EC (</w:t>
      </w:r>
      <w:r w:rsidR="008D07C1">
        <w:rPr>
          <w:sz w:val="24"/>
          <w:szCs w:val="24"/>
          <w:lang w:val="en-GB"/>
        </w:rPr>
        <w:t xml:space="preserve">Giorgio </w:t>
      </w:r>
      <w:proofErr w:type="spellStart"/>
      <w:r w:rsidR="008D07C1">
        <w:rPr>
          <w:sz w:val="24"/>
          <w:szCs w:val="24"/>
          <w:lang w:val="en-GB"/>
        </w:rPr>
        <w:t>Chiarion</w:t>
      </w:r>
      <w:proofErr w:type="spellEnd"/>
      <w:r w:rsidR="008D07C1">
        <w:rPr>
          <w:sz w:val="24"/>
          <w:szCs w:val="24"/>
          <w:lang w:val="en-GB"/>
        </w:rPr>
        <w:t xml:space="preserve"> </w:t>
      </w:r>
      <w:proofErr w:type="spellStart"/>
      <w:r w:rsidR="008D07C1">
        <w:rPr>
          <w:sz w:val="24"/>
          <w:szCs w:val="24"/>
          <w:lang w:val="en-GB"/>
        </w:rPr>
        <w:t>Casoni</w:t>
      </w:r>
      <w:proofErr w:type="spellEnd"/>
      <w:r>
        <w:rPr>
          <w:sz w:val="24"/>
          <w:szCs w:val="24"/>
          <w:lang w:val="en-GB"/>
        </w:rPr>
        <w:t>) clarified that:</w:t>
      </w:r>
    </w:p>
    <w:p w14:paraId="2A2538DB" w14:textId="697F4089" w:rsidR="00716EA1" w:rsidRDefault="00716EA1" w:rsidP="00716EA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A254B9">
        <w:rPr>
          <w:sz w:val="24"/>
          <w:szCs w:val="24"/>
          <w:lang w:val="en-GB"/>
        </w:rPr>
        <w:t xml:space="preserve">The quota of revenues pertaining to the Commission as </w:t>
      </w:r>
      <w:r w:rsidR="00DB2952" w:rsidRPr="00A254B9">
        <w:rPr>
          <w:sz w:val="24"/>
          <w:szCs w:val="24"/>
          <w:lang w:val="en-GB"/>
        </w:rPr>
        <w:t xml:space="preserve">risk related </w:t>
      </w:r>
      <w:r w:rsidRPr="00A254B9">
        <w:rPr>
          <w:sz w:val="24"/>
          <w:szCs w:val="24"/>
          <w:lang w:val="en-GB"/>
        </w:rPr>
        <w:t>remuneration for risk</w:t>
      </w:r>
      <w:r w:rsidR="00DB2952" w:rsidRPr="00A254B9">
        <w:rPr>
          <w:sz w:val="24"/>
          <w:szCs w:val="24"/>
          <w:lang w:val="en-GB"/>
        </w:rPr>
        <w:t>s</w:t>
      </w:r>
      <w:r w:rsidRPr="00A254B9">
        <w:rPr>
          <w:sz w:val="24"/>
          <w:szCs w:val="24"/>
          <w:lang w:val="en-GB"/>
        </w:rPr>
        <w:t xml:space="preserve"> taken under InvestEU, together with </w:t>
      </w:r>
      <w:r w:rsidR="00DB2952" w:rsidRPr="00A254B9">
        <w:rPr>
          <w:sz w:val="24"/>
          <w:szCs w:val="24"/>
          <w:lang w:val="en-GB"/>
        </w:rPr>
        <w:t>recoveries</w:t>
      </w:r>
      <w:r w:rsidRPr="00A254B9">
        <w:rPr>
          <w:sz w:val="24"/>
          <w:szCs w:val="24"/>
          <w:lang w:val="en-GB"/>
        </w:rPr>
        <w:t>, will</w:t>
      </w:r>
      <w:r w:rsidR="00DB2952" w:rsidRPr="00A254B9">
        <w:rPr>
          <w:sz w:val="24"/>
          <w:szCs w:val="24"/>
          <w:lang w:val="en-GB"/>
        </w:rPr>
        <w:t xml:space="preserve"> feed the InvestEU Guarantee Fund in addition to the 40% budgetary contribution</w:t>
      </w:r>
      <w:r w:rsidR="00DB2952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. </w:t>
      </w:r>
    </w:p>
    <w:p w14:paraId="710302CC" w14:textId="77777777" w:rsidR="00716EA1" w:rsidRDefault="00716EA1" w:rsidP="00716EA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Thematic products should be considered the exception rather than the rule under InvestEU as they are very expensive in terms of capital consumption</w:t>
      </w:r>
      <w:r w:rsidR="00DB2952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</w:p>
    <w:p w14:paraId="1B8F32C4" w14:textId="2DFE96B6" w:rsidR="00716EA1" w:rsidRDefault="00716EA1" w:rsidP="00716EA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COM risk appetite is </w:t>
      </w:r>
      <w:r w:rsidR="00DB2952">
        <w:rPr>
          <w:sz w:val="24"/>
          <w:szCs w:val="24"/>
          <w:lang w:val="en-GB"/>
        </w:rPr>
        <w:t xml:space="preserve">to </w:t>
      </w:r>
      <w:proofErr w:type="gramStart"/>
      <w:r w:rsidR="00DB2952">
        <w:rPr>
          <w:sz w:val="24"/>
          <w:szCs w:val="24"/>
          <w:lang w:val="en-GB"/>
        </w:rPr>
        <w:t>be understood</w:t>
      </w:r>
      <w:proofErr w:type="gramEnd"/>
      <w:r w:rsidR="00DB2952">
        <w:rPr>
          <w:sz w:val="24"/>
          <w:szCs w:val="24"/>
          <w:lang w:val="en-GB"/>
        </w:rPr>
        <w:t xml:space="preserve"> in relation to the provisioning rate (40%) and the applied confidence level (95%).</w:t>
      </w:r>
      <w:r>
        <w:rPr>
          <w:sz w:val="24"/>
          <w:szCs w:val="24"/>
          <w:lang w:val="en-GB"/>
        </w:rPr>
        <w:t xml:space="preserve"> </w:t>
      </w:r>
      <w:r w:rsidR="00DB2952">
        <w:rPr>
          <w:sz w:val="24"/>
          <w:szCs w:val="24"/>
          <w:lang w:val="en-GB"/>
        </w:rPr>
        <w:t xml:space="preserve">The assets in the InvestEU </w:t>
      </w:r>
      <w:r w:rsidR="003F6A90">
        <w:rPr>
          <w:sz w:val="24"/>
          <w:szCs w:val="24"/>
          <w:lang w:val="en-GB"/>
        </w:rPr>
        <w:t>compartment of the Common Provisioning</w:t>
      </w:r>
      <w:r w:rsidR="00DB2952">
        <w:rPr>
          <w:sz w:val="24"/>
          <w:szCs w:val="24"/>
          <w:lang w:val="en-GB"/>
        </w:rPr>
        <w:t xml:space="preserve"> Fund are set in relation to the</w:t>
      </w:r>
      <w:r>
        <w:rPr>
          <w:sz w:val="24"/>
          <w:szCs w:val="24"/>
          <w:lang w:val="en-GB"/>
        </w:rPr>
        <w:t xml:space="preserve"> </w:t>
      </w:r>
      <w:r w:rsidR="00DB2952">
        <w:rPr>
          <w:sz w:val="24"/>
          <w:szCs w:val="24"/>
          <w:lang w:val="en-GB"/>
        </w:rPr>
        <w:t>V</w:t>
      </w:r>
      <w:r>
        <w:rPr>
          <w:sz w:val="24"/>
          <w:szCs w:val="24"/>
          <w:lang w:val="en-GB"/>
        </w:rPr>
        <w:t>alue</w:t>
      </w:r>
      <w:r w:rsidR="00DB2952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at</w:t>
      </w:r>
      <w:r w:rsidR="00DB2952">
        <w:rPr>
          <w:sz w:val="24"/>
          <w:szCs w:val="24"/>
          <w:lang w:val="en-GB"/>
        </w:rPr>
        <w:t>-R</w:t>
      </w:r>
      <w:r>
        <w:rPr>
          <w:sz w:val="24"/>
          <w:szCs w:val="24"/>
          <w:lang w:val="en-GB"/>
        </w:rPr>
        <w:t xml:space="preserve">isk of the portfolio loss distribution </w:t>
      </w:r>
      <w:r w:rsidR="00DB2952">
        <w:rPr>
          <w:sz w:val="24"/>
          <w:szCs w:val="24"/>
          <w:lang w:val="en-GB"/>
        </w:rPr>
        <w:t>at a confidence level of 95%,</w:t>
      </w:r>
    </w:p>
    <w:p w14:paraId="5F9B36FC" w14:textId="601E9632" w:rsidR="00716EA1" w:rsidRDefault="00716EA1" w:rsidP="00716EA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Portfolio correlation (</w:t>
      </w:r>
      <w:r w:rsidR="00DB2952">
        <w:rPr>
          <w:sz w:val="24"/>
          <w:szCs w:val="24"/>
          <w:lang w:val="en-GB"/>
        </w:rPr>
        <w:t xml:space="preserve">typically assumed </w:t>
      </w:r>
      <w:r>
        <w:rPr>
          <w:sz w:val="24"/>
          <w:szCs w:val="24"/>
          <w:lang w:val="en-GB"/>
        </w:rPr>
        <w:t xml:space="preserve">in the range of 20-40% </w:t>
      </w:r>
      <w:r w:rsidR="00DB2952">
        <w:rPr>
          <w:sz w:val="24"/>
          <w:szCs w:val="24"/>
          <w:lang w:val="en-GB"/>
        </w:rPr>
        <w:t xml:space="preserve">for </w:t>
      </w:r>
      <w:r>
        <w:rPr>
          <w:sz w:val="24"/>
          <w:szCs w:val="24"/>
          <w:lang w:val="en-GB"/>
        </w:rPr>
        <w:t xml:space="preserve">a normal loan portfolio) </w:t>
      </w:r>
      <w:proofErr w:type="gramStart"/>
      <w:r>
        <w:rPr>
          <w:sz w:val="24"/>
          <w:szCs w:val="24"/>
          <w:lang w:val="en-GB"/>
        </w:rPr>
        <w:t>will be assessed</w:t>
      </w:r>
      <w:proofErr w:type="gramEnd"/>
      <w:r>
        <w:rPr>
          <w:sz w:val="24"/>
          <w:szCs w:val="24"/>
          <w:lang w:val="en-GB"/>
        </w:rPr>
        <w:t xml:space="preserve"> prudently based on a simple approach. </w:t>
      </w:r>
    </w:p>
    <w:p w14:paraId="60993AB6" w14:textId="2318BD1D" w:rsidR="00716EA1" w:rsidRPr="003F6A90" w:rsidRDefault="00716EA1" w:rsidP="00716EA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DB2952">
        <w:rPr>
          <w:sz w:val="24"/>
          <w:szCs w:val="24"/>
          <w:lang w:val="en-GB"/>
        </w:rPr>
        <w:t xml:space="preserve">maximum </w:t>
      </w:r>
      <w:r>
        <w:rPr>
          <w:sz w:val="24"/>
          <w:szCs w:val="24"/>
          <w:lang w:val="en-GB"/>
        </w:rPr>
        <w:t>guarante</w:t>
      </w:r>
      <w:r w:rsidR="009F4C1D">
        <w:rPr>
          <w:sz w:val="24"/>
          <w:szCs w:val="24"/>
          <w:lang w:val="en-GB"/>
        </w:rPr>
        <w:t>ed</w:t>
      </w:r>
      <w:r>
        <w:rPr>
          <w:sz w:val="24"/>
          <w:szCs w:val="24"/>
          <w:lang w:val="en-GB"/>
        </w:rPr>
        <w:t xml:space="preserve"> amount</w:t>
      </w:r>
      <w:r w:rsidR="00DB2952">
        <w:rPr>
          <w:sz w:val="24"/>
          <w:szCs w:val="24"/>
          <w:lang w:val="en-GB"/>
        </w:rPr>
        <w:t xml:space="preserve"> for each </w:t>
      </w:r>
      <w:r w:rsidR="00A254B9">
        <w:rPr>
          <w:sz w:val="24"/>
          <w:szCs w:val="24"/>
          <w:lang w:val="en-GB"/>
        </w:rPr>
        <w:t>Guarantee</w:t>
      </w:r>
      <w:r w:rsidR="00DB2952">
        <w:rPr>
          <w:sz w:val="24"/>
          <w:szCs w:val="24"/>
          <w:lang w:val="en-GB"/>
        </w:rPr>
        <w:t xml:space="preserve"> Agreement under Invest EU will be</w:t>
      </w:r>
      <w:r>
        <w:rPr>
          <w:sz w:val="24"/>
          <w:szCs w:val="24"/>
          <w:lang w:val="en-GB"/>
        </w:rPr>
        <w:t xml:space="preserve"> set in euros. Some potential IPs (BGK, MFB, </w:t>
      </w:r>
      <w:proofErr w:type="gramStart"/>
      <w:r>
        <w:rPr>
          <w:sz w:val="24"/>
          <w:szCs w:val="24"/>
          <w:lang w:val="en-GB"/>
        </w:rPr>
        <w:t>CEB</w:t>
      </w:r>
      <w:proofErr w:type="gramEnd"/>
      <w:r>
        <w:rPr>
          <w:sz w:val="24"/>
          <w:szCs w:val="24"/>
          <w:lang w:val="en-GB"/>
        </w:rPr>
        <w:t>) pointed to the currency risk related to non-E</w:t>
      </w:r>
      <w:r w:rsidR="00DB2952">
        <w:rPr>
          <w:sz w:val="24"/>
          <w:szCs w:val="24"/>
          <w:lang w:val="en-GB"/>
        </w:rPr>
        <w:t>uro</w:t>
      </w:r>
      <w:r>
        <w:rPr>
          <w:sz w:val="24"/>
          <w:szCs w:val="24"/>
          <w:lang w:val="en-GB"/>
        </w:rPr>
        <w:t xml:space="preserve"> operations as an additional risk/uncertainty </w:t>
      </w:r>
      <w:r w:rsidR="003F6A90">
        <w:rPr>
          <w:sz w:val="24"/>
          <w:szCs w:val="24"/>
          <w:lang w:val="en-GB"/>
        </w:rPr>
        <w:t xml:space="preserve">and the potential costs associated to </w:t>
      </w:r>
      <w:r w:rsidR="00A254B9">
        <w:rPr>
          <w:sz w:val="24"/>
          <w:szCs w:val="24"/>
          <w:lang w:val="en-GB"/>
        </w:rPr>
        <w:t>hedging activities</w:t>
      </w:r>
      <w:r w:rsidR="003F6A90">
        <w:rPr>
          <w:sz w:val="24"/>
          <w:szCs w:val="24"/>
          <w:lang w:val="en-GB"/>
        </w:rPr>
        <w:t xml:space="preserve"> applied to mitigate currency risk. This may need to </w:t>
      </w:r>
      <w:proofErr w:type="gramStart"/>
      <w:r w:rsidR="003F6A90">
        <w:rPr>
          <w:sz w:val="24"/>
          <w:szCs w:val="24"/>
          <w:lang w:val="en-GB"/>
        </w:rPr>
        <w:t>be addressed</w:t>
      </w:r>
      <w:proofErr w:type="gramEnd"/>
      <w:r w:rsidR="003F6A9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to ensure a true level playing field between different geographies (EA vs non-EA) of InvestEU operation. </w:t>
      </w:r>
      <w:r w:rsidR="008D07C1">
        <w:rPr>
          <w:sz w:val="24"/>
          <w:szCs w:val="24"/>
          <w:lang w:val="en-GB"/>
        </w:rPr>
        <w:t xml:space="preserve">Giorgio </w:t>
      </w:r>
      <w:proofErr w:type="spellStart"/>
      <w:r w:rsidR="008D07C1">
        <w:rPr>
          <w:sz w:val="24"/>
          <w:szCs w:val="24"/>
          <w:lang w:val="en-GB"/>
        </w:rPr>
        <w:t>Chiarion</w:t>
      </w:r>
      <w:proofErr w:type="spellEnd"/>
      <w:r w:rsidR="008D07C1">
        <w:rPr>
          <w:sz w:val="24"/>
          <w:szCs w:val="24"/>
          <w:lang w:val="en-GB"/>
        </w:rPr>
        <w:t xml:space="preserve"> </w:t>
      </w:r>
      <w:proofErr w:type="spellStart"/>
      <w:r w:rsidR="008D07C1">
        <w:rPr>
          <w:sz w:val="24"/>
          <w:szCs w:val="24"/>
          <w:lang w:val="en-GB"/>
        </w:rPr>
        <w:t>Casoni</w:t>
      </w:r>
      <w:proofErr w:type="spellEnd"/>
      <w:r w:rsidRPr="009F4C1D">
        <w:rPr>
          <w:sz w:val="24"/>
          <w:szCs w:val="24"/>
          <w:lang w:val="en-GB"/>
        </w:rPr>
        <w:t xml:space="preserve"> recalled that the InvestEU Regulation foresees to cover such a risk within the limit of art 15.2 for the losses arising from currency fluctuations.</w:t>
      </w:r>
      <w:r w:rsidRPr="003F6A90">
        <w:rPr>
          <w:sz w:val="24"/>
          <w:szCs w:val="24"/>
          <w:lang w:val="en-GB"/>
        </w:rPr>
        <w:t xml:space="preserve"> </w:t>
      </w:r>
      <w:r w:rsidR="003F6A90">
        <w:rPr>
          <w:sz w:val="24"/>
          <w:szCs w:val="24"/>
          <w:lang w:val="en-GB"/>
        </w:rPr>
        <w:t>The Commission will analyse this issue in further detail in the coming months.</w:t>
      </w:r>
    </w:p>
    <w:p w14:paraId="716E37CC" w14:textId="47A3AF80" w:rsidR="00716EA1" w:rsidRDefault="00716EA1" w:rsidP="002D05D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Concerning the note on Remuneration of the EU guarantee, </w:t>
      </w:r>
      <w:r w:rsidR="00DB2952">
        <w:rPr>
          <w:sz w:val="24"/>
          <w:szCs w:val="24"/>
          <w:lang w:val="en-GB"/>
        </w:rPr>
        <w:t xml:space="preserve">which </w:t>
      </w:r>
      <w:proofErr w:type="gramStart"/>
      <w:r w:rsidR="00DB2952">
        <w:rPr>
          <w:sz w:val="24"/>
          <w:szCs w:val="24"/>
          <w:lang w:val="en-GB"/>
        </w:rPr>
        <w:t xml:space="preserve">was </w:t>
      </w:r>
      <w:r>
        <w:rPr>
          <w:sz w:val="24"/>
          <w:szCs w:val="24"/>
          <w:lang w:val="en-GB"/>
        </w:rPr>
        <w:t>also circulated</w:t>
      </w:r>
      <w:proofErr w:type="gramEnd"/>
      <w:r>
        <w:rPr>
          <w:sz w:val="24"/>
          <w:szCs w:val="24"/>
          <w:lang w:val="en-GB"/>
        </w:rPr>
        <w:t xml:space="preserve"> for comments</w:t>
      </w:r>
      <w:r w:rsidR="00DB2952">
        <w:rPr>
          <w:sz w:val="24"/>
          <w:szCs w:val="24"/>
          <w:lang w:val="en-GB"/>
        </w:rPr>
        <w:t xml:space="preserve"> at the previous meeting</w:t>
      </w:r>
      <w:r>
        <w:rPr>
          <w:sz w:val="24"/>
          <w:szCs w:val="24"/>
          <w:lang w:val="en-GB"/>
        </w:rPr>
        <w:t xml:space="preserve">, the majority of potential IPs expressed a preference for </w:t>
      </w:r>
      <w:r w:rsidR="00DB2952">
        <w:rPr>
          <w:sz w:val="24"/>
          <w:szCs w:val="24"/>
          <w:lang w:val="en-GB"/>
        </w:rPr>
        <w:t xml:space="preserve">a </w:t>
      </w:r>
      <w:r>
        <w:rPr>
          <w:sz w:val="24"/>
          <w:szCs w:val="24"/>
          <w:lang w:val="en-GB"/>
        </w:rPr>
        <w:t xml:space="preserve">fee </w:t>
      </w:r>
      <w:r w:rsidR="00DB2952">
        <w:rPr>
          <w:sz w:val="24"/>
          <w:szCs w:val="24"/>
          <w:lang w:val="en-GB"/>
        </w:rPr>
        <w:t xml:space="preserve">type remuneration </w:t>
      </w:r>
      <w:r>
        <w:rPr>
          <w:sz w:val="24"/>
          <w:szCs w:val="24"/>
          <w:lang w:val="en-GB"/>
        </w:rPr>
        <w:t xml:space="preserve">model, </w:t>
      </w:r>
      <w:r w:rsidR="00DB2952">
        <w:rPr>
          <w:sz w:val="24"/>
          <w:szCs w:val="24"/>
          <w:lang w:val="en-GB"/>
        </w:rPr>
        <w:t xml:space="preserve">which is </w:t>
      </w:r>
      <w:r>
        <w:rPr>
          <w:sz w:val="24"/>
          <w:szCs w:val="24"/>
          <w:lang w:val="en-GB"/>
        </w:rPr>
        <w:t xml:space="preserve">easier to manage operationally than </w:t>
      </w:r>
      <w:r w:rsidR="00DB2952">
        <w:rPr>
          <w:sz w:val="24"/>
          <w:szCs w:val="24"/>
          <w:lang w:val="en-GB"/>
        </w:rPr>
        <w:t xml:space="preserve">a </w:t>
      </w:r>
      <w:r>
        <w:rPr>
          <w:sz w:val="24"/>
          <w:szCs w:val="24"/>
          <w:lang w:val="en-GB"/>
        </w:rPr>
        <w:t>revenue sharing model</w:t>
      </w:r>
      <w:r w:rsidR="00DB2952">
        <w:rPr>
          <w:rStyle w:val="FootnoteReference"/>
          <w:sz w:val="24"/>
          <w:szCs w:val="24"/>
          <w:lang w:val="en-GB"/>
        </w:rPr>
        <w:footnoteReference w:id="2"/>
      </w:r>
      <w:r>
        <w:rPr>
          <w:sz w:val="24"/>
          <w:szCs w:val="24"/>
          <w:lang w:val="en-GB"/>
        </w:rPr>
        <w:t xml:space="preserve">. The EIB proposal to apply the fee model to layered structures and </w:t>
      </w:r>
      <w:r w:rsidR="00DB2952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revenue </w:t>
      </w:r>
      <w:r>
        <w:rPr>
          <w:sz w:val="24"/>
          <w:szCs w:val="24"/>
          <w:lang w:val="en-GB"/>
        </w:rPr>
        <w:lastRenderedPageBreak/>
        <w:t xml:space="preserve">sharing </w:t>
      </w:r>
      <w:r w:rsidR="00DB2952">
        <w:rPr>
          <w:sz w:val="24"/>
          <w:szCs w:val="24"/>
          <w:lang w:val="en-GB"/>
        </w:rPr>
        <w:t xml:space="preserve">type model </w:t>
      </w:r>
      <w:r>
        <w:rPr>
          <w:sz w:val="24"/>
          <w:szCs w:val="24"/>
          <w:lang w:val="en-GB"/>
        </w:rPr>
        <w:t xml:space="preserve">in case of </w:t>
      </w:r>
      <w:proofErr w:type="spellStart"/>
      <w:r>
        <w:rPr>
          <w:sz w:val="24"/>
          <w:szCs w:val="24"/>
          <w:lang w:val="en-GB"/>
        </w:rPr>
        <w:t>pari-passu</w:t>
      </w:r>
      <w:proofErr w:type="spellEnd"/>
      <w:r w:rsidR="00DB2952">
        <w:rPr>
          <w:sz w:val="24"/>
          <w:szCs w:val="24"/>
          <w:lang w:val="en-GB"/>
        </w:rPr>
        <w:t xml:space="preserve"> investments</w:t>
      </w:r>
      <w:r>
        <w:rPr>
          <w:sz w:val="24"/>
          <w:szCs w:val="24"/>
          <w:lang w:val="en-GB"/>
        </w:rPr>
        <w:t xml:space="preserve"> </w:t>
      </w:r>
      <w:r w:rsidR="00DB2952">
        <w:rPr>
          <w:sz w:val="24"/>
          <w:szCs w:val="24"/>
          <w:lang w:val="en-GB"/>
        </w:rPr>
        <w:t>received</w:t>
      </w:r>
      <w:r>
        <w:rPr>
          <w:sz w:val="24"/>
          <w:szCs w:val="24"/>
          <w:lang w:val="en-GB"/>
        </w:rPr>
        <w:t xml:space="preserve"> limited support in view of the additional costs that would inevitably result for IPs </w:t>
      </w:r>
      <w:r w:rsidR="00DB2952">
        <w:rPr>
          <w:sz w:val="24"/>
          <w:szCs w:val="24"/>
          <w:lang w:val="en-GB"/>
        </w:rPr>
        <w:t>who do not already have the required IT systems in place</w:t>
      </w:r>
      <w:r>
        <w:rPr>
          <w:sz w:val="24"/>
          <w:szCs w:val="24"/>
          <w:lang w:val="en-GB"/>
        </w:rPr>
        <w:t xml:space="preserve">. </w:t>
      </w:r>
      <w:r w:rsidR="003F6A90">
        <w:rPr>
          <w:sz w:val="24"/>
          <w:szCs w:val="24"/>
          <w:lang w:val="en-GB"/>
        </w:rPr>
        <w:t xml:space="preserve">A separate discussion </w:t>
      </w:r>
      <w:proofErr w:type="gramStart"/>
      <w:r w:rsidR="003F6A90">
        <w:rPr>
          <w:sz w:val="24"/>
          <w:szCs w:val="24"/>
          <w:lang w:val="en-GB"/>
        </w:rPr>
        <w:t xml:space="preserve">should be </w:t>
      </w:r>
      <w:r w:rsidR="009F4C1D">
        <w:rPr>
          <w:sz w:val="24"/>
          <w:szCs w:val="24"/>
          <w:lang w:val="en-GB"/>
        </w:rPr>
        <w:t>held</w:t>
      </w:r>
      <w:proofErr w:type="gramEnd"/>
      <w:r w:rsidR="003F6A90">
        <w:rPr>
          <w:sz w:val="24"/>
          <w:szCs w:val="24"/>
          <w:lang w:val="en-GB"/>
        </w:rPr>
        <w:t xml:space="preserve"> for equity-type investments. </w:t>
      </w:r>
      <w:r>
        <w:rPr>
          <w:sz w:val="24"/>
          <w:szCs w:val="24"/>
          <w:lang w:val="en-GB"/>
        </w:rPr>
        <w:t xml:space="preserve">Regarding the timing for the payment of the fee, and considering that the exposure at risk before disbursement is zero, COM clarified that this point </w:t>
      </w:r>
      <w:proofErr w:type="gramStart"/>
      <w:r>
        <w:rPr>
          <w:sz w:val="24"/>
          <w:szCs w:val="24"/>
          <w:lang w:val="en-GB"/>
        </w:rPr>
        <w:t>can be indeed addressed</w:t>
      </w:r>
      <w:proofErr w:type="gramEnd"/>
      <w:r>
        <w:rPr>
          <w:sz w:val="24"/>
          <w:szCs w:val="24"/>
          <w:lang w:val="en-GB"/>
        </w:rPr>
        <w:t xml:space="preserve"> in the Guarantee agreement when defining the start date of the guarantee fee.</w:t>
      </w:r>
    </w:p>
    <w:p w14:paraId="2C5F8B97" w14:textId="29F2DD80" w:rsidR="00716EA1" w:rsidRPr="00C37911" w:rsidRDefault="00716EA1" w:rsidP="002D05D6">
      <w:pPr>
        <w:jc w:val="both"/>
        <w:rPr>
          <w:sz w:val="24"/>
          <w:szCs w:val="24"/>
          <w:u w:val="single"/>
          <w:lang w:val="en-GB"/>
        </w:rPr>
      </w:pPr>
      <w:r w:rsidRPr="00C37911">
        <w:rPr>
          <w:sz w:val="24"/>
          <w:szCs w:val="24"/>
          <w:u w:val="single"/>
          <w:lang w:val="en-GB"/>
        </w:rPr>
        <w:t>The next mee</w:t>
      </w:r>
      <w:bookmarkStart w:id="0" w:name="_GoBack"/>
      <w:bookmarkEnd w:id="0"/>
      <w:r w:rsidRPr="00C37911">
        <w:rPr>
          <w:sz w:val="24"/>
          <w:szCs w:val="24"/>
          <w:u w:val="single"/>
          <w:lang w:val="en-GB"/>
        </w:rPr>
        <w:t xml:space="preserve">ting will tentatively take place </w:t>
      </w:r>
      <w:r w:rsidR="009F4C1D" w:rsidRPr="00C37911">
        <w:rPr>
          <w:sz w:val="24"/>
          <w:szCs w:val="24"/>
          <w:u w:val="single"/>
          <w:lang w:val="en-GB"/>
        </w:rPr>
        <w:t>in the first half of</w:t>
      </w:r>
      <w:r w:rsidRPr="00C37911">
        <w:rPr>
          <w:sz w:val="24"/>
          <w:szCs w:val="24"/>
          <w:u w:val="single"/>
          <w:lang w:val="en-GB"/>
        </w:rPr>
        <w:t xml:space="preserve"> February 2020.</w:t>
      </w:r>
    </w:p>
    <w:sectPr w:rsidR="00716EA1" w:rsidRPr="00C37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D1E9" w14:textId="77777777" w:rsidR="00D1679D" w:rsidRDefault="00D1679D" w:rsidP="002D05D6">
      <w:pPr>
        <w:spacing w:after="0" w:line="240" w:lineRule="auto"/>
      </w:pPr>
      <w:r>
        <w:separator/>
      </w:r>
    </w:p>
  </w:endnote>
  <w:endnote w:type="continuationSeparator" w:id="0">
    <w:p w14:paraId="17A4FE70" w14:textId="77777777" w:rsidR="00D1679D" w:rsidRDefault="00D1679D" w:rsidP="002D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9182" w14:textId="77777777" w:rsidR="00D1679D" w:rsidRDefault="00D1679D" w:rsidP="002D05D6">
      <w:pPr>
        <w:spacing w:after="0" w:line="240" w:lineRule="auto"/>
      </w:pPr>
      <w:r>
        <w:separator/>
      </w:r>
    </w:p>
  </w:footnote>
  <w:footnote w:type="continuationSeparator" w:id="0">
    <w:p w14:paraId="15DB3E22" w14:textId="77777777" w:rsidR="00D1679D" w:rsidRDefault="00D1679D" w:rsidP="002D05D6">
      <w:pPr>
        <w:spacing w:after="0" w:line="240" w:lineRule="auto"/>
      </w:pPr>
      <w:r>
        <w:continuationSeparator/>
      </w:r>
    </w:p>
  </w:footnote>
  <w:footnote w:id="1">
    <w:p w14:paraId="2B83B4F6" w14:textId="77777777" w:rsidR="002D05D6" w:rsidRPr="002D05D6" w:rsidRDefault="002D05D6" w:rsidP="002D05D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2D05D6">
        <w:rPr>
          <w:lang w:val="en-GB"/>
        </w:rPr>
        <w:t xml:space="preserve"> A. </w:t>
      </w:r>
      <w:proofErr w:type="spellStart"/>
      <w:r w:rsidRPr="002D05D6">
        <w:rPr>
          <w:lang w:val="en-GB"/>
        </w:rPr>
        <w:t>Eisl</w:t>
      </w:r>
      <w:proofErr w:type="spellEnd"/>
      <w:r w:rsidRPr="002D05D6">
        <w:rPr>
          <w:lang w:val="en-GB"/>
        </w:rPr>
        <w:t xml:space="preserve">, H. W. </w:t>
      </w:r>
      <w:proofErr w:type="spellStart"/>
      <w:r w:rsidRPr="002D05D6">
        <w:rPr>
          <w:lang w:val="en-GB"/>
        </w:rPr>
        <w:t>Elendner</w:t>
      </w:r>
      <w:proofErr w:type="spellEnd"/>
      <w:r w:rsidRPr="002D05D6">
        <w:rPr>
          <w:lang w:val="en-GB"/>
        </w:rPr>
        <w:t>, M. Lingo “Re-Mapping Credit Ratings</w:t>
      </w:r>
      <w:r>
        <w:rPr>
          <w:lang w:val="en-GB"/>
        </w:rPr>
        <w:t xml:space="preserve">”, GESY </w:t>
      </w:r>
      <w:r w:rsidRPr="002D05D6">
        <w:rPr>
          <w:lang w:val="en-GB"/>
        </w:rPr>
        <w:t>Discussion Paper No. 492</w:t>
      </w:r>
      <w:r>
        <w:rPr>
          <w:lang w:val="en-GB"/>
        </w:rPr>
        <w:t>, January 2013.</w:t>
      </w:r>
      <w:r w:rsidRPr="002D05D6">
        <w:rPr>
          <w:lang w:val="en-GB"/>
        </w:rPr>
        <w:t xml:space="preserve">  </w:t>
      </w:r>
    </w:p>
  </w:footnote>
  <w:footnote w:id="2">
    <w:p w14:paraId="76C20241" w14:textId="0A142C1B" w:rsidR="00DB2952" w:rsidRPr="009F4C1D" w:rsidRDefault="00DB2952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9F4C1D">
        <w:rPr>
          <w:lang w:val="en-IE"/>
        </w:rPr>
        <w:t xml:space="preserve"> </w:t>
      </w:r>
      <w:r>
        <w:rPr>
          <w:lang w:val="en-IE"/>
        </w:rPr>
        <w:t>The revenue sharing model</w:t>
      </w:r>
      <w:r w:rsidRPr="009F4C1D">
        <w:rPr>
          <w:lang w:val="en-IE"/>
        </w:rPr>
        <w:t xml:space="preserve"> </w:t>
      </w:r>
      <w:r>
        <w:rPr>
          <w:lang w:val="en-IE"/>
        </w:rPr>
        <w:t xml:space="preserve">between the </w:t>
      </w:r>
      <w:r w:rsidR="00A254B9">
        <w:rPr>
          <w:lang w:val="en-IE"/>
        </w:rPr>
        <w:t>Commission</w:t>
      </w:r>
      <w:r>
        <w:rPr>
          <w:lang w:val="en-IE"/>
        </w:rPr>
        <w:t xml:space="preserve"> and the EIB </w:t>
      </w:r>
      <w:r w:rsidRPr="009F4C1D">
        <w:rPr>
          <w:lang w:val="en-IE"/>
        </w:rPr>
        <w:t>under EFSI</w:t>
      </w:r>
      <w:r>
        <w:rPr>
          <w:lang w:val="en-IE"/>
        </w:rPr>
        <w:t xml:space="preserve"> </w:t>
      </w:r>
      <w:proofErr w:type="gramStart"/>
      <w:r>
        <w:rPr>
          <w:lang w:val="en-IE"/>
        </w:rPr>
        <w:t>was briefly outlined</w:t>
      </w:r>
      <w:proofErr w:type="gramEnd"/>
      <w:r>
        <w:rPr>
          <w:lang w:val="en-IE"/>
        </w:rPr>
        <w:t xml:space="preserve"> as an example.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10D1"/>
    <w:multiLevelType w:val="hybridMultilevel"/>
    <w:tmpl w:val="EC2E36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D6"/>
    <w:rsid w:val="00047297"/>
    <w:rsid w:val="000A4EDC"/>
    <w:rsid w:val="001C0B79"/>
    <w:rsid w:val="002D05D6"/>
    <w:rsid w:val="003F6A90"/>
    <w:rsid w:val="00716EA1"/>
    <w:rsid w:val="007D2187"/>
    <w:rsid w:val="007D6C7B"/>
    <w:rsid w:val="008D07C1"/>
    <w:rsid w:val="0095374A"/>
    <w:rsid w:val="009F4C1D"/>
    <w:rsid w:val="00A254B9"/>
    <w:rsid w:val="00BE1A9B"/>
    <w:rsid w:val="00C37911"/>
    <w:rsid w:val="00D101B2"/>
    <w:rsid w:val="00D1679D"/>
    <w:rsid w:val="00DB2952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B7FB"/>
  <w15:chartTrackingRefBased/>
  <w15:docId w15:val="{98C453F7-F365-43C9-8936-23F2ADB2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05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5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5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6E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631A-600F-456A-8EEF-C9BFBC30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1221</Words>
  <Characters>6340</Characters>
  <Application>Microsoft Office Word</Application>
  <DocSecurity>0</DocSecurity>
  <Lines>94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FABBRIS Tiziana (ECFIN)</dc:creator>
  <cp:keywords/>
  <dc:description/>
  <cp:lastModifiedBy>BRUNEL Manon (ECFIN-EXT)</cp:lastModifiedBy>
  <cp:revision>5</cp:revision>
  <dcterms:created xsi:type="dcterms:W3CDTF">2019-12-12T12:20:00Z</dcterms:created>
  <dcterms:modified xsi:type="dcterms:W3CDTF">2019-12-12T12:24:00Z</dcterms:modified>
</cp:coreProperties>
</file>