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012F" w14:textId="502C39B6" w:rsidR="008636A6" w:rsidRPr="003C528A" w:rsidRDefault="00C260B8" w:rsidP="004549D0">
      <w:pPr>
        <w:shd w:val="clear" w:color="auto" w:fill="C6D9F1" w:themeFill="text2" w:themeFillTint="33"/>
        <w:spacing w:before="120" w:after="120"/>
        <w:jc w:val="center"/>
        <w:rPr>
          <w:rFonts w:ascii="Arial" w:hAnsi="Arial" w:cs="Arial"/>
          <w:b/>
          <w:bCs/>
          <w:sz w:val="32"/>
          <w:szCs w:val="32"/>
        </w:rPr>
      </w:pPr>
      <w:r w:rsidRPr="003C528A">
        <w:rPr>
          <w:rFonts w:ascii="Arial" w:hAnsi="Arial" w:cs="Arial"/>
          <w:b/>
          <w:bCs/>
          <w:sz w:val="32"/>
          <w:szCs w:val="32"/>
        </w:rPr>
        <w:t>Social Investment and Skills</w:t>
      </w:r>
      <w:r w:rsidR="004549D0" w:rsidRPr="003C528A">
        <w:rPr>
          <w:rFonts w:ascii="Arial" w:hAnsi="Arial" w:cs="Arial"/>
          <w:b/>
          <w:bCs/>
          <w:sz w:val="32"/>
          <w:szCs w:val="32"/>
        </w:rPr>
        <w:t xml:space="preserve"> Window</w:t>
      </w:r>
      <w:r w:rsidR="00A445E1" w:rsidRPr="003C528A">
        <w:rPr>
          <w:rFonts w:ascii="Arial" w:hAnsi="Arial" w:cs="Arial"/>
          <w:b/>
          <w:bCs/>
          <w:sz w:val="32"/>
          <w:szCs w:val="32"/>
        </w:rPr>
        <w:t xml:space="preserve"> </w:t>
      </w:r>
      <w:r w:rsidR="00392BD0" w:rsidRPr="003C528A">
        <w:rPr>
          <w:rFonts w:ascii="Arial" w:hAnsi="Arial" w:cs="Arial"/>
          <w:b/>
          <w:bCs/>
          <w:sz w:val="32"/>
          <w:szCs w:val="32"/>
        </w:rPr>
        <w:t xml:space="preserve">– </w:t>
      </w:r>
      <w:r w:rsidR="00A432B1" w:rsidRPr="003C528A">
        <w:rPr>
          <w:rFonts w:ascii="Arial" w:hAnsi="Arial" w:cs="Arial"/>
          <w:b/>
          <w:bCs/>
          <w:sz w:val="32"/>
          <w:szCs w:val="32"/>
        </w:rPr>
        <w:t xml:space="preserve">Draft </w:t>
      </w:r>
      <w:r w:rsidR="00C3085A" w:rsidRPr="003C528A">
        <w:rPr>
          <w:rFonts w:ascii="Arial" w:hAnsi="Arial" w:cs="Arial"/>
          <w:b/>
          <w:bCs/>
          <w:sz w:val="32"/>
          <w:szCs w:val="32"/>
        </w:rPr>
        <w:t>Policy Note</w:t>
      </w:r>
    </w:p>
    <w:sdt>
      <w:sdtPr>
        <w:rPr>
          <w:rFonts w:ascii="Times New Roman" w:eastAsiaTheme="minorHAnsi" w:hAnsi="Times New Roman" w:cstheme="minorBidi"/>
          <w:color w:val="auto"/>
          <w:sz w:val="24"/>
          <w:szCs w:val="22"/>
          <w:lang w:val="en-GB"/>
        </w:rPr>
        <w:id w:val="-1840074111"/>
        <w:docPartObj>
          <w:docPartGallery w:val="Table of Contents"/>
          <w:docPartUnique/>
        </w:docPartObj>
      </w:sdtPr>
      <w:sdtEndPr>
        <w:rPr>
          <w:b/>
          <w:bCs/>
          <w:noProof/>
        </w:rPr>
      </w:sdtEndPr>
      <w:sdtContent>
        <w:p w14:paraId="08E13029" w14:textId="77777777" w:rsidR="00B819A7" w:rsidRPr="003C528A" w:rsidRDefault="00B819A7">
          <w:pPr>
            <w:pStyle w:val="TOCHeading"/>
          </w:pPr>
          <w:r w:rsidRPr="003C528A">
            <w:t>Contents</w:t>
          </w:r>
        </w:p>
        <w:p w14:paraId="32196199" w14:textId="2841BCC5" w:rsidR="00C03985" w:rsidRPr="003C528A" w:rsidRDefault="00B819A7">
          <w:pPr>
            <w:pStyle w:val="TOC1"/>
            <w:rPr>
              <w:rFonts w:asciiTheme="minorHAnsi" w:eastAsiaTheme="minorEastAsia" w:hAnsiTheme="minorHAnsi"/>
              <w:b w:val="0"/>
              <w:sz w:val="22"/>
              <w:szCs w:val="22"/>
              <w:lang w:val="fr-BE" w:eastAsia="fr-BE"/>
            </w:rPr>
          </w:pPr>
          <w:r w:rsidRPr="00A63126">
            <w:rPr>
              <w:rStyle w:val="Hyperlink"/>
              <w:sz w:val="24"/>
              <w:szCs w:val="22"/>
            </w:rPr>
            <w:fldChar w:fldCharType="begin"/>
          </w:r>
          <w:r w:rsidRPr="003C528A">
            <w:rPr>
              <w:rStyle w:val="Hyperlink"/>
            </w:rPr>
            <w:instrText xml:space="preserve"> TOC \o "1-3" \h \z \u </w:instrText>
          </w:r>
          <w:r w:rsidRPr="00A63126">
            <w:rPr>
              <w:rStyle w:val="Hyperlink"/>
            </w:rPr>
            <w:fldChar w:fldCharType="separate"/>
          </w:r>
          <w:hyperlink w:anchor="_Toc24983373" w:history="1">
            <w:r w:rsidR="00C03985" w:rsidRPr="003C528A">
              <w:rPr>
                <w:rStyle w:val="Hyperlink"/>
              </w:rPr>
              <w:t>Introduction</w:t>
            </w:r>
            <w:r w:rsidR="00C03985" w:rsidRPr="003C528A">
              <w:rPr>
                <w:webHidden/>
              </w:rPr>
              <w:tab/>
            </w:r>
            <w:r w:rsidR="00C03985" w:rsidRPr="003C528A">
              <w:rPr>
                <w:webHidden/>
              </w:rPr>
              <w:fldChar w:fldCharType="begin"/>
            </w:r>
            <w:r w:rsidR="00C03985" w:rsidRPr="003C528A">
              <w:rPr>
                <w:webHidden/>
              </w:rPr>
              <w:instrText xml:space="preserve"> PAGEREF _Toc24983373 \h </w:instrText>
            </w:r>
            <w:r w:rsidR="00C03985" w:rsidRPr="003C528A">
              <w:rPr>
                <w:webHidden/>
              </w:rPr>
            </w:r>
            <w:r w:rsidR="00C03985" w:rsidRPr="003C528A">
              <w:rPr>
                <w:webHidden/>
              </w:rPr>
              <w:fldChar w:fldCharType="separate"/>
            </w:r>
            <w:r w:rsidR="00E664DC" w:rsidRPr="003C528A">
              <w:rPr>
                <w:webHidden/>
              </w:rPr>
              <w:t>2</w:t>
            </w:r>
            <w:r w:rsidR="00C03985" w:rsidRPr="003C528A">
              <w:rPr>
                <w:webHidden/>
              </w:rPr>
              <w:fldChar w:fldCharType="end"/>
            </w:r>
          </w:hyperlink>
        </w:p>
        <w:p w14:paraId="12C1F570" w14:textId="14443CD6" w:rsidR="00C03985" w:rsidRPr="003C528A" w:rsidRDefault="00163D55">
          <w:pPr>
            <w:pStyle w:val="TOC1"/>
            <w:rPr>
              <w:rFonts w:asciiTheme="minorHAnsi" w:eastAsiaTheme="minorEastAsia" w:hAnsiTheme="minorHAnsi"/>
              <w:b w:val="0"/>
              <w:sz w:val="22"/>
              <w:szCs w:val="22"/>
              <w:lang w:val="fr-BE" w:eastAsia="fr-BE"/>
            </w:rPr>
          </w:pPr>
          <w:hyperlink w:anchor="_Toc24983374" w:history="1">
            <w:r w:rsidR="00C03985" w:rsidRPr="003C528A">
              <w:rPr>
                <w:rStyle w:val="Hyperlink"/>
              </w:rPr>
              <w:t>1</w:t>
            </w:r>
            <w:r w:rsidR="00C03985" w:rsidRPr="003C528A">
              <w:rPr>
                <w:rFonts w:asciiTheme="minorHAnsi" w:eastAsiaTheme="minorEastAsia" w:hAnsiTheme="minorHAnsi"/>
                <w:b w:val="0"/>
                <w:sz w:val="22"/>
                <w:szCs w:val="22"/>
                <w:lang w:val="fr-BE" w:eastAsia="fr-BE"/>
              </w:rPr>
              <w:tab/>
            </w:r>
            <w:r w:rsidR="00C03985" w:rsidRPr="003C528A">
              <w:rPr>
                <w:rStyle w:val="Hyperlink"/>
              </w:rPr>
              <w:t>InvestEU for microfinance and social enterprises, social impact and social innovation</w:t>
            </w:r>
            <w:r w:rsidR="00C03985" w:rsidRPr="003C528A">
              <w:rPr>
                <w:webHidden/>
              </w:rPr>
              <w:tab/>
            </w:r>
            <w:r w:rsidR="00C03985" w:rsidRPr="003C528A">
              <w:rPr>
                <w:webHidden/>
              </w:rPr>
              <w:fldChar w:fldCharType="begin"/>
            </w:r>
            <w:r w:rsidR="00C03985" w:rsidRPr="003C528A">
              <w:rPr>
                <w:webHidden/>
              </w:rPr>
              <w:instrText xml:space="preserve"> PAGEREF _Toc24983374 \h </w:instrText>
            </w:r>
            <w:r w:rsidR="00C03985" w:rsidRPr="003C528A">
              <w:rPr>
                <w:webHidden/>
              </w:rPr>
            </w:r>
            <w:r w:rsidR="00C03985" w:rsidRPr="003C528A">
              <w:rPr>
                <w:webHidden/>
              </w:rPr>
              <w:fldChar w:fldCharType="separate"/>
            </w:r>
            <w:r w:rsidR="00E664DC" w:rsidRPr="003C528A">
              <w:rPr>
                <w:webHidden/>
              </w:rPr>
              <w:t>2</w:t>
            </w:r>
            <w:r w:rsidR="00C03985" w:rsidRPr="003C528A">
              <w:rPr>
                <w:webHidden/>
              </w:rPr>
              <w:fldChar w:fldCharType="end"/>
            </w:r>
          </w:hyperlink>
        </w:p>
        <w:p w14:paraId="35F18EC6" w14:textId="30869FB6" w:rsidR="00C03985" w:rsidRPr="003C528A" w:rsidRDefault="00163D55">
          <w:pPr>
            <w:pStyle w:val="TOC2"/>
            <w:rPr>
              <w:rFonts w:asciiTheme="minorHAnsi" w:eastAsiaTheme="minorEastAsia" w:hAnsiTheme="minorHAnsi"/>
              <w:noProof/>
              <w:sz w:val="22"/>
              <w:lang w:val="fr-BE" w:eastAsia="fr-BE"/>
            </w:rPr>
          </w:pPr>
          <w:hyperlink w:anchor="_Toc24983375" w:history="1">
            <w:r w:rsidR="00C03985" w:rsidRPr="003C528A">
              <w:rPr>
                <w:rStyle w:val="Hyperlink"/>
                <w:noProof/>
              </w:rPr>
              <w:t>1.1</w:t>
            </w:r>
            <w:r w:rsidR="00C03985" w:rsidRPr="003C528A">
              <w:rPr>
                <w:rFonts w:asciiTheme="minorHAnsi" w:eastAsiaTheme="minorEastAsia" w:hAnsiTheme="minorHAnsi"/>
                <w:noProof/>
                <w:sz w:val="22"/>
                <w:lang w:val="fr-BE" w:eastAsia="fr-BE"/>
              </w:rPr>
              <w:tab/>
            </w:r>
            <w:r w:rsidR="00C03985" w:rsidRPr="003C528A">
              <w:rPr>
                <w:rStyle w:val="Hyperlink"/>
                <w:noProof/>
              </w:rPr>
              <w:t xml:space="preserve">Rationale for supporting investment in microfinance, social enterprises, social impact and social innovation </w:t>
            </w:r>
            <w:r w:rsidR="00C03985" w:rsidRPr="003C528A">
              <w:rPr>
                <w:noProof/>
                <w:webHidden/>
              </w:rPr>
              <w:tab/>
            </w:r>
            <w:r w:rsidR="00C03985" w:rsidRPr="003C528A">
              <w:rPr>
                <w:noProof/>
                <w:webHidden/>
              </w:rPr>
              <w:fldChar w:fldCharType="begin"/>
            </w:r>
            <w:r w:rsidR="00C03985" w:rsidRPr="003C528A">
              <w:rPr>
                <w:noProof/>
                <w:webHidden/>
              </w:rPr>
              <w:instrText xml:space="preserve"> PAGEREF _Toc24983375 \h </w:instrText>
            </w:r>
            <w:r w:rsidR="00C03985" w:rsidRPr="003C528A">
              <w:rPr>
                <w:noProof/>
                <w:webHidden/>
              </w:rPr>
            </w:r>
            <w:r w:rsidR="00C03985" w:rsidRPr="003C528A">
              <w:rPr>
                <w:noProof/>
                <w:webHidden/>
              </w:rPr>
              <w:fldChar w:fldCharType="separate"/>
            </w:r>
            <w:r w:rsidR="00E664DC" w:rsidRPr="003C528A">
              <w:rPr>
                <w:noProof/>
                <w:webHidden/>
              </w:rPr>
              <w:t>2</w:t>
            </w:r>
            <w:r w:rsidR="00C03985" w:rsidRPr="003C528A">
              <w:rPr>
                <w:noProof/>
                <w:webHidden/>
              </w:rPr>
              <w:fldChar w:fldCharType="end"/>
            </w:r>
          </w:hyperlink>
        </w:p>
        <w:p w14:paraId="0EFF078B" w14:textId="0983590E" w:rsidR="00C03985" w:rsidRPr="003C528A" w:rsidRDefault="00163D55">
          <w:pPr>
            <w:pStyle w:val="TOC2"/>
            <w:rPr>
              <w:rFonts w:asciiTheme="minorHAnsi" w:eastAsiaTheme="minorEastAsia" w:hAnsiTheme="minorHAnsi"/>
              <w:noProof/>
              <w:sz w:val="22"/>
              <w:lang w:val="fr-BE" w:eastAsia="fr-BE"/>
            </w:rPr>
          </w:pPr>
          <w:hyperlink w:anchor="_Toc24983376" w:history="1">
            <w:r w:rsidR="00C03985" w:rsidRPr="003C528A">
              <w:rPr>
                <w:rStyle w:val="Hyperlink"/>
                <w:noProof/>
              </w:rPr>
              <w:t>1.2</w:t>
            </w:r>
            <w:r w:rsidR="00C03985" w:rsidRPr="003C528A">
              <w:rPr>
                <w:rFonts w:asciiTheme="minorHAnsi" w:eastAsiaTheme="minorEastAsia" w:hAnsiTheme="minorHAnsi"/>
                <w:noProof/>
                <w:sz w:val="22"/>
                <w:lang w:val="fr-BE" w:eastAsia="fr-BE"/>
              </w:rPr>
              <w:tab/>
            </w:r>
            <w:r w:rsidR="00C03985" w:rsidRPr="003C528A">
              <w:rPr>
                <w:rStyle w:val="Hyperlink"/>
                <w:noProof/>
              </w:rPr>
              <w:t>Estimated EU-wide financing gaps</w:t>
            </w:r>
            <w:r w:rsidR="00C03985" w:rsidRPr="003C528A">
              <w:rPr>
                <w:noProof/>
                <w:webHidden/>
              </w:rPr>
              <w:tab/>
            </w:r>
            <w:r w:rsidR="00C03985" w:rsidRPr="003C528A">
              <w:rPr>
                <w:noProof/>
                <w:webHidden/>
              </w:rPr>
              <w:fldChar w:fldCharType="begin"/>
            </w:r>
            <w:r w:rsidR="00C03985" w:rsidRPr="003C528A">
              <w:rPr>
                <w:noProof/>
                <w:webHidden/>
              </w:rPr>
              <w:instrText xml:space="preserve"> PAGEREF _Toc24983376 \h </w:instrText>
            </w:r>
            <w:r w:rsidR="00C03985" w:rsidRPr="003C528A">
              <w:rPr>
                <w:noProof/>
                <w:webHidden/>
              </w:rPr>
            </w:r>
            <w:r w:rsidR="00C03985" w:rsidRPr="003C528A">
              <w:rPr>
                <w:noProof/>
                <w:webHidden/>
              </w:rPr>
              <w:fldChar w:fldCharType="separate"/>
            </w:r>
            <w:r w:rsidR="00E664DC" w:rsidRPr="003C528A">
              <w:rPr>
                <w:noProof/>
                <w:webHidden/>
              </w:rPr>
              <w:t>4</w:t>
            </w:r>
            <w:r w:rsidR="00C03985" w:rsidRPr="003C528A">
              <w:rPr>
                <w:noProof/>
                <w:webHidden/>
              </w:rPr>
              <w:fldChar w:fldCharType="end"/>
            </w:r>
          </w:hyperlink>
        </w:p>
        <w:p w14:paraId="68D10927" w14:textId="772ADF4E" w:rsidR="00C03985" w:rsidRPr="003C528A" w:rsidRDefault="00163D55">
          <w:pPr>
            <w:pStyle w:val="TOC2"/>
            <w:rPr>
              <w:rFonts w:asciiTheme="minorHAnsi" w:eastAsiaTheme="minorEastAsia" w:hAnsiTheme="minorHAnsi"/>
              <w:noProof/>
              <w:sz w:val="22"/>
              <w:lang w:val="fr-BE" w:eastAsia="fr-BE"/>
            </w:rPr>
          </w:pPr>
          <w:hyperlink w:anchor="_Toc24983377" w:history="1">
            <w:r w:rsidR="00C03985" w:rsidRPr="003C528A">
              <w:rPr>
                <w:rStyle w:val="Hyperlink"/>
                <w:noProof/>
              </w:rPr>
              <w:t>1.3</w:t>
            </w:r>
            <w:r w:rsidR="00C03985" w:rsidRPr="003C528A">
              <w:rPr>
                <w:rFonts w:asciiTheme="minorHAnsi" w:eastAsiaTheme="minorEastAsia" w:hAnsiTheme="minorHAnsi"/>
                <w:noProof/>
                <w:sz w:val="22"/>
                <w:lang w:val="fr-BE" w:eastAsia="fr-BE"/>
              </w:rPr>
              <w:tab/>
            </w:r>
            <w:r w:rsidR="00C03985" w:rsidRPr="003C528A">
              <w:rPr>
                <w:rStyle w:val="Hyperlink"/>
                <w:noProof/>
              </w:rPr>
              <w:t>Funding needs and types of EU-level financial instruments</w:t>
            </w:r>
            <w:r w:rsidR="00C03985" w:rsidRPr="003C528A">
              <w:rPr>
                <w:noProof/>
                <w:webHidden/>
              </w:rPr>
              <w:tab/>
            </w:r>
            <w:r w:rsidR="00C03985" w:rsidRPr="003C528A">
              <w:rPr>
                <w:noProof/>
                <w:webHidden/>
              </w:rPr>
              <w:fldChar w:fldCharType="begin"/>
            </w:r>
            <w:r w:rsidR="00C03985" w:rsidRPr="003C528A">
              <w:rPr>
                <w:noProof/>
                <w:webHidden/>
              </w:rPr>
              <w:instrText xml:space="preserve"> PAGEREF _Toc24983377 \h </w:instrText>
            </w:r>
            <w:r w:rsidR="00C03985" w:rsidRPr="003C528A">
              <w:rPr>
                <w:noProof/>
                <w:webHidden/>
              </w:rPr>
            </w:r>
            <w:r w:rsidR="00C03985" w:rsidRPr="003C528A">
              <w:rPr>
                <w:noProof/>
                <w:webHidden/>
              </w:rPr>
              <w:fldChar w:fldCharType="separate"/>
            </w:r>
            <w:r w:rsidR="00E664DC" w:rsidRPr="003C528A">
              <w:rPr>
                <w:noProof/>
                <w:webHidden/>
              </w:rPr>
              <w:t>5</w:t>
            </w:r>
            <w:r w:rsidR="00C03985" w:rsidRPr="003C528A">
              <w:rPr>
                <w:noProof/>
                <w:webHidden/>
              </w:rPr>
              <w:fldChar w:fldCharType="end"/>
            </w:r>
          </w:hyperlink>
        </w:p>
        <w:p w14:paraId="36591D12" w14:textId="32B9C728" w:rsidR="00C03985" w:rsidRPr="003C528A" w:rsidRDefault="00163D55">
          <w:pPr>
            <w:pStyle w:val="TOC1"/>
            <w:rPr>
              <w:rFonts w:asciiTheme="minorHAnsi" w:eastAsiaTheme="minorEastAsia" w:hAnsiTheme="minorHAnsi"/>
              <w:b w:val="0"/>
              <w:sz w:val="22"/>
              <w:szCs w:val="22"/>
              <w:lang w:val="fr-BE" w:eastAsia="fr-BE"/>
            </w:rPr>
          </w:pPr>
          <w:hyperlink w:anchor="_Toc24983378" w:history="1">
            <w:r w:rsidR="00C03985" w:rsidRPr="003C528A">
              <w:rPr>
                <w:rStyle w:val="Hyperlink"/>
              </w:rPr>
              <w:t>2</w:t>
            </w:r>
            <w:r w:rsidR="00C03985" w:rsidRPr="003C528A">
              <w:rPr>
                <w:rFonts w:asciiTheme="minorHAnsi" w:eastAsiaTheme="minorEastAsia" w:hAnsiTheme="minorHAnsi"/>
                <w:b w:val="0"/>
                <w:sz w:val="22"/>
                <w:szCs w:val="22"/>
                <w:lang w:val="fr-BE" w:eastAsia="fr-BE"/>
              </w:rPr>
              <w:tab/>
            </w:r>
            <w:r w:rsidR="00C03985" w:rsidRPr="003C528A">
              <w:rPr>
                <w:rStyle w:val="Hyperlink"/>
              </w:rPr>
              <w:t>InvestEU for Education, training and skills</w:t>
            </w:r>
            <w:r w:rsidR="00C03985" w:rsidRPr="003C528A">
              <w:rPr>
                <w:webHidden/>
              </w:rPr>
              <w:tab/>
            </w:r>
            <w:r w:rsidR="00C03985" w:rsidRPr="003C528A">
              <w:rPr>
                <w:webHidden/>
              </w:rPr>
              <w:fldChar w:fldCharType="begin"/>
            </w:r>
            <w:r w:rsidR="00C03985" w:rsidRPr="003C528A">
              <w:rPr>
                <w:webHidden/>
              </w:rPr>
              <w:instrText xml:space="preserve"> PAGEREF _Toc24983378 \h </w:instrText>
            </w:r>
            <w:r w:rsidR="00C03985" w:rsidRPr="003C528A">
              <w:rPr>
                <w:webHidden/>
              </w:rPr>
            </w:r>
            <w:r w:rsidR="00C03985" w:rsidRPr="003C528A">
              <w:rPr>
                <w:webHidden/>
              </w:rPr>
              <w:fldChar w:fldCharType="separate"/>
            </w:r>
            <w:r w:rsidR="00E664DC" w:rsidRPr="003C528A">
              <w:rPr>
                <w:webHidden/>
              </w:rPr>
              <w:t>8</w:t>
            </w:r>
            <w:r w:rsidR="00C03985" w:rsidRPr="003C528A">
              <w:rPr>
                <w:webHidden/>
              </w:rPr>
              <w:fldChar w:fldCharType="end"/>
            </w:r>
          </w:hyperlink>
        </w:p>
        <w:p w14:paraId="13BD17B4" w14:textId="325E5E97" w:rsidR="00C03985" w:rsidRPr="003C528A" w:rsidRDefault="00163D55">
          <w:pPr>
            <w:pStyle w:val="TOC2"/>
            <w:rPr>
              <w:rFonts w:asciiTheme="minorHAnsi" w:eastAsiaTheme="minorEastAsia" w:hAnsiTheme="minorHAnsi"/>
              <w:noProof/>
              <w:sz w:val="22"/>
              <w:lang w:val="fr-BE" w:eastAsia="fr-BE"/>
            </w:rPr>
          </w:pPr>
          <w:hyperlink w:anchor="_Toc24983379" w:history="1">
            <w:r w:rsidR="00C03985" w:rsidRPr="003C528A">
              <w:rPr>
                <w:rStyle w:val="Hyperlink"/>
                <w:noProof/>
              </w:rPr>
              <w:t>2.1</w:t>
            </w:r>
            <w:r w:rsidR="00C03985" w:rsidRPr="003C528A">
              <w:rPr>
                <w:rFonts w:asciiTheme="minorHAnsi" w:eastAsiaTheme="minorEastAsia" w:hAnsiTheme="minorHAnsi"/>
                <w:noProof/>
                <w:sz w:val="22"/>
                <w:lang w:val="fr-BE" w:eastAsia="fr-BE"/>
              </w:rPr>
              <w:tab/>
            </w:r>
            <w:r w:rsidR="00C03985" w:rsidRPr="003C528A">
              <w:rPr>
                <w:rStyle w:val="Hyperlink"/>
                <w:noProof/>
              </w:rPr>
              <w:t>Rationale for supporting investment in education, training and related services</w:t>
            </w:r>
            <w:r w:rsidR="00C03985" w:rsidRPr="003C528A">
              <w:rPr>
                <w:noProof/>
                <w:webHidden/>
              </w:rPr>
              <w:tab/>
            </w:r>
            <w:r w:rsidR="00C03985" w:rsidRPr="003C528A">
              <w:rPr>
                <w:noProof/>
                <w:webHidden/>
              </w:rPr>
              <w:fldChar w:fldCharType="begin"/>
            </w:r>
            <w:r w:rsidR="00C03985" w:rsidRPr="003C528A">
              <w:rPr>
                <w:noProof/>
                <w:webHidden/>
              </w:rPr>
              <w:instrText xml:space="preserve"> PAGEREF _Toc24983379 \h </w:instrText>
            </w:r>
            <w:r w:rsidR="00C03985" w:rsidRPr="003C528A">
              <w:rPr>
                <w:noProof/>
                <w:webHidden/>
              </w:rPr>
            </w:r>
            <w:r w:rsidR="00C03985" w:rsidRPr="003C528A">
              <w:rPr>
                <w:noProof/>
                <w:webHidden/>
              </w:rPr>
              <w:fldChar w:fldCharType="separate"/>
            </w:r>
            <w:r w:rsidR="00E664DC" w:rsidRPr="003C528A">
              <w:rPr>
                <w:noProof/>
                <w:webHidden/>
              </w:rPr>
              <w:t>8</w:t>
            </w:r>
            <w:r w:rsidR="00C03985" w:rsidRPr="003C528A">
              <w:rPr>
                <w:noProof/>
                <w:webHidden/>
              </w:rPr>
              <w:fldChar w:fldCharType="end"/>
            </w:r>
          </w:hyperlink>
        </w:p>
        <w:p w14:paraId="584317E6" w14:textId="11D31ECD" w:rsidR="00C03985" w:rsidRPr="003C528A" w:rsidRDefault="00163D55">
          <w:pPr>
            <w:pStyle w:val="TOC2"/>
            <w:rPr>
              <w:rFonts w:asciiTheme="minorHAnsi" w:eastAsiaTheme="minorEastAsia" w:hAnsiTheme="minorHAnsi"/>
              <w:noProof/>
              <w:sz w:val="22"/>
              <w:lang w:val="fr-BE" w:eastAsia="fr-BE"/>
            </w:rPr>
          </w:pPr>
          <w:hyperlink w:anchor="_Toc24983380" w:history="1">
            <w:r w:rsidR="00C03985" w:rsidRPr="003C528A">
              <w:rPr>
                <w:rStyle w:val="Hyperlink"/>
                <w:noProof/>
              </w:rPr>
              <w:t>2.2</w:t>
            </w:r>
            <w:r w:rsidR="00C03985" w:rsidRPr="003C528A">
              <w:rPr>
                <w:rFonts w:asciiTheme="minorHAnsi" w:eastAsiaTheme="minorEastAsia" w:hAnsiTheme="minorHAnsi"/>
                <w:noProof/>
                <w:sz w:val="22"/>
                <w:lang w:val="fr-BE" w:eastAsia="fr-BE"/>
              </w:rPr>
              <w:tab/>
            </w:r>
            <w:r w:rsidR="00C03985" w:rsidRPr="003C528A">
              <w:rPr>
                <w:rStyle w:val="Hyperlink"/>
                <w:noProof/>
              </w:rPr>
              <w:t>The need to enhance access to quality education, training and related services</w:t>
            </w:r>
            <w:r w:rsidR="00C03985" w:rsidRPr="003C528A">
              <w:rPr>
                <w:noProof/>
                <w:webHidden/>
              </w:rPr>
              <w:tab/>
            </w:r>
            <w:r w:rsidR="00C03985" w:rsidRPr="003C528A">
              <w:rPr>
                <w:noProof/>
                <w:webHidden/>
              </w:rPr>
              <w:fldChar w:fldCharType="begin"/>
            </w:r>
            <w:r w:rsidR="00C03985" w:rsidRPr="003C528A">
              <w:rPr>
                <w:noProof/>
                <w:webHidden/>
              </w:rPr>
              <w:instrText xml:space="preserve"> PAGEREF _Toc24983380 \h </w:instrText>
            </w:r>
            <w:r w:rsidR="00C03985" w:rsidRPr="003C528A">
              <w:rPr>
                <w:noProof/>
                <w:webHidden/>
              </w:rPr>
            </w:r>
            <w:r w:rsidR="00C03985" w:rsidRPr="003C528A">
              <w:rPr>
                <w:noProof/>
                <w:webHidden/>
              </w:rPr>
              <w:fldChar w:fldCharType="separate"/>
            </w:r>
            <w:r w:rsidR="00E664DC" w:rsidRPr="003C528A">
              <w:rPr>
                <w:noProof/>
                <w:webHidden/>
              </w:rPr>
              <w:t>9</w:t>
            </w:r>
            <w:r w:rsidR="00C03985" w:rsidRPr="003C528A">
              <w:rPr>
                <w:noProof/>
                <w:webHidden/>
              </w:rPr>
              <w:fldChar w:fldCharType="end"/>
            </w:r>
          </w:hyperlink>
        </w:p>
        <w:p w14:paraId="20F8C5A6" w14:textId="2979CC2F" w:rsidR="00C03985" w:rsidRPr="003C528A" w:rsidRDefault="00163D55">
          <w:pPr>
            <w:pStyle w:val="TOC2"/>
            <w:rPr>
              <w:rFonts w:asciiTheme="minorHAnsi" w:eastAsiaTheme="minorEastAsia" w:hAnsiTheme="minorHAnsi"/>
              <w:noProof/>
              <w:sz w:val="22"/>
              <w:lang w:val="fr-BE" w:eastAsia="fr-BE"/>
            </w:rPr>
          </w:pPr>
          <w:hyperlink w:anchor="_Toc24983381" w:history="1">
            <w:r w:rsidR="00C03985" w:rsidRPr="003C528A">
              <w:rPr>
                <w:rStyle w:val="Hyperlink"/>
                <w:noProof/>
              </w:rPr>
              <w:t>2.3</w:t>
            </w:r>
            <w:r w:rsidR="00C03985" w:rsidRPr="003C528A">
              <w:rPr>
                <w:rFonts w:asciiTheme="minorHAnsi" w:eastAsiaTheme="minorEastAsia" w:hAnsiTheme="minorHAnsi"/>
                <w:noProof/>
                <w:sz w:val="22"/>
                <w:lang w:val="fr-BE" w:eastAsia="fr-BE"/>
              </w:rPr>
              <w:tab/>
            </w:r>
            <w:r w:rsidR="00C03985" w:rsidRPr="003C528A">
              <w:rPr>
                <w:rStyle w:val="Hyperlink"/>
                <w:noProof/>
              </w:rPr>
              <w:t>Funding needs and types of EU-level financial instruments</w:t>
            </w:r>
            <w:r w:rsidR="00C03985" w:rsidRPr="003C528A">
              <w:rPr>
                <w:noProof/>
                <w:webHidden/>
              </w:rPr>
              <w:tab/>
            </w:r>
            <w:r w:rsidR="00C03985" w:rsidRPr="003C528A">
              <w:rPr>
                <w:noProof/>
                <w:webHidden/>
              </w:rPr>
              <w:fldChar w:fldCharType="begin"/>
            </w:r>
            <w:r w:rsidR="00C03985" w:rsidRPr="003C528A">
              <w:rPr>
                <w:noProof/>
                <w:webHidden/>
              </w:rPr>
              <w:instrText xml:space="preserve"> PAGEREF _Toc24983381 \h </w:instrText>
            </w:r>
            <w:r w:rsidR="00C03985" w:rsidRPr="003C528A">
              <w:rPr>
                <w:noProof/>
                <w:webHidden/>
              </w:rPr>
            </w:r>
            <w:r w:rsidR="00C03985" w:rsidRPr="003C528A">
              <w:rPr>
                <w:noProof/>
                <w:webHidden/>
              </w:rPr>
              <w:fldChar w:fldCharType="separate"/>
            </w:r>
            <w:r w:rsidR="00E664DC" w:rsidRPr="003C528A">
              <w:rPr>
                <w:noProof/>
                <w:webHidden/>
              </w:rPr>
              <w:t>12</w:t>
            </w:r>
            <w:r w:rsidR="00C03985" w:rsidRPr="003C528A">
              <w:rPr>
                <w:noProof/>
                <w:webHidden/>
              </w:rPr>
              <w:fldChar w:fldCharType="end"/>
            </w:r>
          </w:hyperlink>
        </w:p>
        <w:p w14:paraId="02C324C9" w14:textId="13A1B827" w:rsidR="00C03985" w:rsidRPr="003C528A" w:rsidRDefault="00163D55">
          <w:pPr>
            <w:pStyle w:val="TOC1"/>
            <w:rPr>
              <w:rFonts w:asciiTheme="minorHAnsi" w:eastAsiaTheme="minorEastAsia" w:hAnsiTheme="minorHAnsi"/>
              <w:b w:val="0"/>
              <w:sz w:val="22"/>
              <w:szCs w:val="22"/>
              <w:lang w:val="fr-BE" w:eastAsia="fr-BE"/>
            </w:rPr>
          </w:pPr>
          <w:hyperlink w:anchor="_Toc24983382" w:history="1">
            <w:r w:rsidR="00C03985" w:rsidRPr="003C528A">
              <w:rPr>
                <w:rStyle w:val="Hyperlink"/>
              </w:rPr>
              <w:t>3</w:t>
            </w:r>
            <w:r w:rsidR="00C03985" w:rsidRPr="003C528A">
              <w:rPr>
                <w:rFonts w:asciiTheme="minorHAnsi" w:eastAsiaTheme="minorEastAsia" w:hAnsiTheme="minorHAnsi"/>
                <w:b w:val="0"/>
                <w:sz w:val="22"/>
                <w:szCs w:val="22"/>
                <w:lang w:val="fr-BE" w:eastAsia="fr-BE"/>
              </w:rPr>
              <w:tab/>
            </w:r>
            <w:r w:rsidR="00C03985" w:rsidRPr="003C528A">
              <w:rPr>
                <w:rStyle w:val="Hyperlink"/>
              </w:rPr>
              <w:t>InvestEU for Social Infrastructure and Services</w:t>
            </w:r>
            <w:r w:rsidR="00C03985" w:rsidRPr="003C528A">
              <w:rPr>
                <w:webHidden/>
              </w:rPr>
              <w:tab/>
            </w:r>
            <w:r w:rsidR="00C03985" w:rsidRPr="003C528A">
              <w:rPr>
                <w:webHidden/>
              </w:rPr>
              <w:fldChar w:fldCharType="begin"/>
            </w:r>
            <w:r w:rsidR="00C03985" w:rsidRPr="003C528A">
              <w:rPr>
                <w:webHidden/>
              </w:rPr>
              <w:instrText xml:space="preserve"> PAGEREF _Toc24983382 \h </w:instrText>
            </w:r>
            <w:r w:rsidR="00C03985" w:rsidRPr="003C528A">
              <w:rPr>
                <w:webHidden/>
              </w:rPr>
            </w:r>
            <w:r w:rsidR="00C03985" w:rsidRPr="003C528A">
              <w:rPr>
                <w:webHidden/>
              </w:rPr>
              <w:fldChar w:fldCharType="separate"/>
            </w:r>
            <w:r w:rsidR="00E664DC" w:rsidRPr="003C528A">
              <w:rPr>
                <w:webHidden/>
              </w:rPr>
              <w:t>18</w:t>
            </w:r>
            <w:r w:rsidR="00C03985" w:rsidRPr="003C528A">
              <w:rPr>
                <w:webHidden/>
              </w:rPr>
              <w:fldChar w:fldCharType="end"/>
            </w:r>
          </w:hyperlink>
        </w:p>
        <w:p w14:paraId="1366DE55" w14:textId="474D0E83" w:rsidR="00C03985" w:rsidRPr="003C528A" w:rsidRDefault="00163D55">
          <w:pPr>
            <w:pStyle w:val="TOC2"/>
            <w:rPr>
              <w:rFonts w:asciiTheme="minorHAnsi" w:eastAsiaTheme="minorEastAsia" w:hAnsiTheme="minorHAnsi"/>
              <w:noProof/>
              <w:sz w:val="22"/>
              <w:lang w:val="fr-BE" w:eastAsia="fr-BE"/>
            </w:rPr>
          </w:pPr>
          <w:hyperlink w:anchor="_Toc24983383" w:history="1">
            <w:r w:rsidR="00C03985" w:rsidRPr="003C528A">
              <w:rPr>
                <w:rStyle w:val="Hyperlink"/>
                <w:rFonts w:cs="Times New Roman"/>
                <w:noProof/>
              </w:rPr>
              <w:t>3.1</w:t>
            </w:r>
            <w:r w:rsidR="00C03985" w:rsidRPr="003C528A">
              <w:rPr>
                <w:rFonts w:asciiTheme="minorHAnsi" w:eastAsiaTheme="minorEastAsia" w:hAnsiTheme="minorHAnsi"/>
                <w:noProof/>
                <w:sz w:val="22"/>
                <w:lang w:val="fr-BE" w:eastAsia="fr-BE"/>
              </w:rPr>
              <w:tab/>
            </w:r>
            <w:r w:rsidR="00C03985" w:rsidRPr="003C528A">
              <w:rPr>
                <w:rStyle w:val="Hyperlink"/>
                <w:noProof/>
              </w:rPr>
              <w:t>Rationale for supporting investment in social infrastructure and services</w:t>
            </w:r>
            <w:r w:rsidR="00C03985" w:rsidRPr="003C528A">
              <w:rPr>
                <w:noProof/>
                <w:webHidden/>
              </w:rPr>
              <w:tab/>
            </w:r>
            <w:r w:rsidR="00C03985" w:rsidRPr="003C528A">
              <w:rPr>
                <w:noProof/>
                <w:webHidden/>
              </w:rPr>
              <w:fldChar w:fldCharType="begin"/>
            </w:r>
            <w:r w:rsidR="00C03985" w:rsidRPr="003C528A">
              <w:rPr>
                <w:noProof/>
                <w:webHidden/>
              </w:rPr>
              <w:instrText xml:space="preserve"> PAGEREF _Toc24983383 \h </w:instrText>
            </w:r>
            <w:r w:rsidR="00C03985" w:rsidRPr="003C528A">
              <w:rPr>
                <w:noProof/>
                <w:webHidden/>
              </w:rPr>
            </w:r>
            <w:r w:rsidR="00C03985" w:rsidRPr="003C528A">
              <w:rPr>
                <w:noProof/>
                <w:webHidden/>
              </w:rPr>
              <w:fldChar w:fldCharType="separate"/>
            </w:r>
            <w:r w:rsidR="00E664DC" w:rsidRPr="003C528A">
              <w:rPr>
                <w:noProof/>
                <w:webHidden/>
              </w:rPr>
              <w:t>18</w:t>
            </w:r>
            <w:r w:rsidR="00C03985" w:rsidRPr="003C528A">
              <w:rPr>
                <w:noProof/>
                <w:webHidden/>
              </w:rPr>
              <w:fldChar w:fldCharType="end"/>
            </w:r>
          </w:hyperlink>
        </w:p>
        <w:p w14:paraId="6C6C15E8" w14:textId="1844432C" w:rsidR="00C03985" w:rsidRPr="003C528A" w:rsidRDefault="00163D55">
          <w:pPr>
            <w:pStyle w:val="TOC2"/>
            <w:rPr>
              <w:rFonts w:asciiTheme="minorHAnsi" w:eastAsiaTheme="minorEastAsia" w:hAnsiTheme="minorHAnsi"/>
              <w:noProof/>
              <w:sz w:val="22"/>
              <w:lang w:val="fr-BE" w:eastAsia="fr-BE"/>
            </w:rPr>
          </w:pPr>
          <w:hyperlink w:anchor="_Toc24983384" w:history="1">
            <w:r w:rsidR="00C03985" w:rsidRPr="00BB3757">
              <w:rPr>
                <w:rStyle w:val="Hyperlink"/>
                <w:rFonts w:cs="Times New Roman"/>
                <w:noProof/>
              </w:rPr>
              <w:t>3.2</w:t>
            </w:r>
            <w:r w:rsidR="00C03985" w:rsidRPr="003C528A">
              <w:rPr>
                <w:rFonts w:asciiTheme="minorHAnsi" w:eastAsiaTheme="minorEastAsia" w:hAnsiTheme="minorHAnsi"/>
                <w:noProof/>
                <w:sz w:val="22"/>
                <w:lang w:val="fr-BE" w:eastAsia="fr-BE"/>
              </w:rPr>
              <w:tab/>
            </w:r>
            <w:r w:rsidR="00C03985" w:rsidRPr="00BB3757">
              <w:rPr>
                <w:rStyle w:val="Hyperlink"/>
                <w:noProof/>
              </w:rPr>
              <w:t>Main policy areas under social infrastructure and services</w:t>
            </w:r>
            <w:r w:rsidR="00C03985" w:rsidRPr="003C528A">
              <w:rPr>
                <w:noProof/>
                <w:webHidden/>
              </w:rPr>
              <w:tab/>
            </w:r>
            <w:r w:rsidR="00C03985" w:rsidRPr="00A63126">
              <w:rPr>
                <w:noProof/>
                <w:webHidden/>
              </w:rPr>
              <w:fldChar w:fldCharType="begin"/>
            </w:r>
            <w:r w:rsidR="00C03985" w:rsidRPr="003C528A">
              <w:rPr>
                <w:noProof/>
                <w:webHidden/>
              </w:rPr>
              <w:instrText xml:space="preserve"> PAGEREF _Toc24983384 \h </w:instrText>
            </w:r>
            <w:r w:rsidR="00C03985" w:rsidRPr="00A63126">
              <w:rPr>
                <w:noProof/>
                <w:webHidden/>
              </w:rPr>
            </w:r>
            <w:r w:rsidR="00C03985" w:rsidRPr="00A63126">
              <w:rPr>
                <w:noProof/>
                <w:webHidden/>
              </w:rPr>
              <w:fldChar w:fldCharType="separate"/>
            </w:r>
            <w:r w:rsidR="00E664DC" w:rsidRPr="003C528A">
              <w:rPr>
                <w:noProof/>
                <w:webHidden/>
              </w:rPr>
              <w:t>18</w:t>
            </w:r>
            <w:r w:rsidR="00C03985" w:rsidRPr="00A63126">
              <w:rPr>
                <w:noProof/>
                <w:webHidden/>
              </w:rPr>
              <w:fldChar w:fldCharType="end"/>
            </w:r>
          </w:hyperlink>
        </w:p>
        <w:p w14:paraId="09914A83" w14:textId="3EC5555E" w:rsidR="00C03985" w:rsidRPr="003C528A" w:rsidRDefault="00163D55">
          <w:pPr>
            <w:pStyle w:val="TOC3"/>
            <w:tabs>
              <w:tab w:val="left" w:pos="1320"/>
              <w:tab w:val="right" w:leader="dot" w:pos="9016"/>
            </w:tabs>
            <w:rPr>
              <w:rFonts w:asciiTheme="minorHAnsi" w:eastAsiaTheme="minorEastAsia" w:hAnsiTheme="minorHAnsi"/>
              <w:noProof/>
              <w:sz w:val="22"/>
              <w:lang w:val="fr-BE" w:eastAsia="fr-BE"/>
            </w:rPr>
          </w:pPr>
          <w:hyperlink w:anchor="_Toc24983385" w:history="1">
            <w:r w:rsidR="00C03985" w:rsidRPr="003C528A">
              <w:rPr>
                <w:rStyle w:val="Hyperlink"/>
                <w:noProof/>
              </w:rPr>
              <w:t>3.2.1</w:t>
            </w:r>
            <w:r w:rsidR="00C03985" w:rsidRPr="003C528A">
              <w:rPr>
                <w:rFonts w:asciiTheme="minorHAnsi" w:eastAsiaTheme="minorEastAsia" w:hAnsiTheme="minorHAnsi"/>
                <w:noProof/>
                <w:sz w:val="22"/>
                <w:lang w:val="fr-BE" w:eastAsia="fr-BE"/>
              </w:rPr>
              <w:tab/>
            </w:r>
            <w:r w:rsidR="00C03985" w:rsidRPr="003C528A">
              <w:rPr>
                <w:rStyle w:val="Hyperlink"/>
                <w:noProof/>
              </w:rPr>
              <w:t>Affordable Social Housing</w:t>
            </w:r>
            <w:r w:rsidR="00C03985" w:rsidRPr="003C528A">
              <w:rPr>
                <w:noProof/>
                <w:webHidden/>
              </w:rPr>
              <w:tab/>
            </w:r>
            <w:r w:rsidR="00C03985" w:rsidRPr="00A63126">
              <w:rPr>
                <w:noProof/>
                <w:webHidden/>
              </w:rPr>
              <w:fldChar w:fldCharType="begin"/>
            </w:r>
            <w:r w:rsidR="00C03985" w:rsidRPr="003C528A">
              <w:rPr>
                <w:noProof/>
                <w:webHidden/>
              </w:rPr>
              <w:instrText xml:space="preserve"> PAGEREF _Toc24983385 \h </w:instrText>
            </w:r>
            <w:r w:rsidR="00C03985" w:rsidRPr="00A63126">
              <w:rPr>
                <w:noProof/>
                <w:webHidden/>
              </w:rPr>
            </w:r>
            <w:r w:rsidR="00C03985" w:rsidRPr="00A63126">
              <w:rPr>
                <w:noProof/>
                <w:webHidden/>
              </w:rPr>
              <w:fldChar w:fldCharType="separate"/>
            </w:r>
            <w:r w:rsidR="00E664DC" w:rsidRPr="003C528A">
              <w:rPr>
                <w:noProof/>
                <w:webHidden/>
              </w:rPr>
              <w:t>19</w:t>
            </w:r>
            <w:r w:rsidR="00C03985" w:rsidRPr="00A63126">
              <w:rPr>
                <w:noProof/>
                <w:webHidden/>
              </w:rPr>
              <w:fldChar w:fldCharType="end"/>
            </w:r>
          </w:hyperlink>
        </w:p>
        <w:p w14:paraId="25E4465A" w14:textId="55602004" w:rsidR="00C03985" w:rsidRPr="003C528A" w:rsidRDefault="00163D55">
          <w:pPr>
            <w:pStyle w:val="TOC3"/>
            <w:tabs>
              <w:tab w:val="left" w:pos="1320"/>
              <w:tab w:val="right" w:leader="dot" w:pos="9016"/>
            </w:tabs>
            <w:rPr>
              <w:rFonts w:asciiTheme="minorHAnsi" w:eastAsiaTheme="minorEastAsia" w:hAnsiTheme="minorHAnsi"/>
              <w:noProof/>
              <w:sz w:val="22"/>
              <w:lang w:val="fr-BE" w:eastAsia="fr-BE"/>
            </w:rPr>
          </w:pPr>
          <w:hyperlink w:anchor="_Toc24983386" w:history="1">
            <w:r w:rsidR="00C03985" w:rsidRPr="003C528A">
              <w:rPr>
                <w:rStyle w:val="Hyperlink"/>
                <w:noProof/>
              </w:rPr>
              <w:t>3.2.2</w:t>
            </w:r>
            <w:r w:rsidR="00C03985" w:rsidRPr="003C528A">
              <w:rPr>
                <w:rFonts w:asciiTheme="minorHAnsi" w:eastAsiaTheme="minorEastAsia" w:hAnsiTheme="minorHAnsi"/>
                <w:noProof/>
                <w:sz w:val="22"/>
                <w:lang w:val="fr-BE" w:eastAsia="fr-BE"/>
              </w:rPr>
              <w:tab/>
            </w:r>
            <w:r w:rsidR="00C03985" w:rsidRPr="003C528A">
              <w:rPr>
                <w:rStyle w:val="Hyperlink"/>
                <w:noProof/>
              </w:rPr>
              <w:t>Social infrastructure and services aimed at social inclusion</w:t>
            </w:r>
            <w:r w:rsidR="00C03985" w:rsidRPr="003C528A">
              <w:rPr>
                <w:noProof/>
                <w:webHidden/>
              </w:rPr>
              <w:tab/>
            </w:r>
            <w:r w:rsidR="00C03985" w:rsidRPr="00A63126">
              <w:rPr>
                <w:noProof/>
                <w:webHidden/>
              </w:rPr>
              <w:fldChar w:fldCharType="begin"/>
            </w:r>
            <w:r w:rsidR="00C03985" w:rsidRPr="003C528A">
              <w:rPr>
                <w:noProof/>
                <w:webHidden/>
              </w:rPr>
              <w:instrText xml:space="preserve"> PAGEREF _Toc24983386 \h </w:instrText>
            </w:r>
            <w:r w:rsidR="00C03985" w:rsidRPr="00A63126">
              <w:rPr>
                <w:noProof/>
                <w:webHidden/>
              </w:rPr>
            </w:r>
            <w:r w:rsidR="00C03985" w:rsidRPr="00A63126">
              <w:rPr>
                <w:noProof/>
                <w:webHidden/>
              </w:rPr>
              <w:fldChar w:fldCharType="separate"/>
            </w:r>
            <w:r w:rsidR="00E664DC" w:rsidRPr="003C528A">
              <w:rPr>
                <w:noProof/>
                <w:webHidden/>
              </w:rPr>
              <w:t>19</w:t>
            </w:r>
            <w:r w:rsidR="00C03985" w:rsidRPr="00A63126">
              <w:rPr>
                <w:noProof/>
                <w:webHidden/>
              </w:rPr>
              <w:fldChar w:fldCharType="end"/>
            </w:r>
          </w:hyperlink>
        </w:p>
        <w:p w14:paraId="416BBE77" w14:textId="4DEC7881" w:rsidR="00C03985" w:rsidRPr="003C528A" w:rsidRDefault="00163D55">
          <w:pPr>
            <w:pStyle w:val="TOC3"/>
            <w:tabs>
              <w:tab w:val="left" w:pos="1320"/>
              <w:tab w:val="right" w:leader="dot" w:pos="9016"/>
            </w:tabs>
            <w:rPr>
              <w:rFonts w:asciiTheme="minorHAnsi" w:eastAsiaTheme="minorEastAsia" w:hAnsiTheme="minorHAnsi"/>
              <w:noProof/>
              <w:sz w:val="22"/>
              <w:lang w:val="fr-BE" w:eastAsia="fr-BE"/>
            </w:rPr>
          </w:pPr>
          <w:hyperlink w:anchor="_Toc24983387" w:history="1">
            <w:r w:rsidR="00C03985" w:rsidRPr="003C528A">
              <w:rPr>
                <w:rStyle w:val="Hyperlink"/>
                <w:noProof/>
              </w:rPr>
              <w:t>3.2.3</w:t>
            </w:r>
            <w:r w:rsidR="00C03985" w:rsidRPr="003C528A">
              <w:rPr>
                <w:rFonts w:asciiTheme="minorHAnsi" w:eastAsiaTheme="minorEastAsia" w:hAnsiTheme="minorHAnsi"/>
                <w:noProof/>
                <w:sz w:val="22"/>
                <w:lang w:val="fr-BE" w:eastAsia="fr-BE"/>
              </w:rPr>
              <w:tab/>
            </w:r>
            <w:r w:rsidR="00C03985" w:rsidRPr="003C528A">
              <w:rPr>
                <w:rStyle w:val="Hyperlink"/>
                <w:noProof/>
              </w:rPr>
              <w:t>Enabling solutions for the inclusion of persons with disabilities in the community</w:t>
            </w:r>
            <w:r w:rsidR="00C03985" w:rsidRPr="003C528A">
              <w:rPr>
                <w:noProof/>
                <w:webHidden/>
              </w:rPr>
              <w:tab/>
            </w:r>
            <w:r w:rsidR="00C03985" w:rsidRPr="00A63126">
              <w:rPr>
                <w:noProof/>
                <w:webHidden/>
              </w:rPr>
              <w:fldChar w:fldCharType="begin"/>
            </w:r>
            <w:r w:rsidR="00C03985" w:rsidRPr="003C528A">
              <w:rPr>
                <w:noProof/>
                <w:webHidden/>
              </w:rPr>
              <w:instrText xml:space="preserve"> PAGEREF _Toc24983387 \h </w:instrText>
            </w:r>
            <w:r w:rsidR="00C03985" w:rsidRPr="00A63126">
              <w:rPr>
                <w:noProof/>
                <w:webHidden/>
              </w:rPr>
            </w:r>
            <w:r w:rsidR="00C03985" w:rsidRPr="00A63126">
              <w:rPr>
                <w:noProof/>
                <w:webHidden/>
              </w:rPr>
              <w:fldChar w:fldCharType="separate"/>
            </w:r>
            <w:r w:rsidR="00E664DC" w:rsidRPr="003C528A">
              <w:rPr>
                <w:noProof/>
                <w:webHidden/>
              </w:rPr>
              <w:t>20</w:t>
            </w:r>
            <w:r w:rsidR="00C03985" w:rsidRPr="00A63126">
              <w:rPr>
                <w:noProof/>
                <w:webHidden/>
              </w:rPr>
              <w:fldChar w:fldCharType="end"/>
            </w:r>
          </w:hyperlink>
        </w:p>
        <w:p w14:paraId="5D76B7EA" w14:textId="08B7F003" w:rsidR="00C03985" w:rsidRPr="003C528A" w:rsidRDefault="00163D55">
          <w:pPr>
            <w:pStyle w:val="TOC3"/>
            <w:tabs>
              <w:tab w:val="left" w:pos="1320"/>
              <w:tab w:val="right" w:leader="dot" w:pos="9016"/>
            </w:tabs>
            <w:rPr>
              <w:rFonts w:asciiTheme="minorHAnsi" w:eastAsiaTheme="minorEastAsia" w:hAnsiTheme="minorHAnsi"/>
              <w:noProof/>
              <w:sz w:val="22"/>
              <w:lang w:val="fr-BE" w:eastAsia="fr-BE"/>
            </w:rPr>
          </w:pPr>
          <w:hyperlink w:anchor="_Toc24983388" w:history="1">
            <w:r w:rsidR="00C03985" w:rsidRPr="003C528A">
              <w:rPr>
                <w:rStyle w:val="Hyperlink"/>
                <w:noProof/>
              </w:rPr>
              <w:t>3.2.4</w:t>
            </w:r>
            <w:r w:rsidR="00C03985" w:rsidRPr="003C528A">
              <w:rPr>
                <w:rFonts w:asciiTheme="minorHAnsi" w:eastAsiaTheme="minorEastAsia" w:hAnsiTheme="minorHAnsi"/>
                <w:noProof/>
                <w:sz w:val="22"/>
                <w:lang w:val="fr-BE" w:eastAsia="fr-BE"/>
              </w:rPr>
              <w:tab/>
            </w:r>
            <w:r w:rsidR="00C03985" w:rsidRPr="003C528A">
              <w:rPr>
                <w:rStyle w:val="Hyperlink"/>
                <w:noProof/>
              </w:rPr>
              <w:t>Health</w:t>
            </w:r>
            <w:r w:rsidR="00C03985" w:rsidRPr="003C528A">
              <w:rPr>
                <w:noProof/>
                <w:webHidden/>
              </w:rPr>
              <w:tab/>
            </w:r>
            <w:r w:rsidR="00C03985" w:rsidRPr="00A63126">
              <w:rPr>
                <w:noProof/>
                <w:webHidden/>
              </w:rPr>
              <w:fldChar w:fldCharType="begin"/>
            </w:r>
            <w:r w:rsidR="00C03985" w:rsidRPr="003C528A">
              <w:rPr>
                <w:noProof/>
                <w:webHidden/>
              </w:rPr>
              <w:instrText xml:space="preserve"> PAGEREF _Toc24983388 \h </w:instrText>
            </w:r>
            <w:r w:rsidR="00C03985" w:rsidRPr="00A63126">
              <w:rPr>
                <w:noProof/>
                <w:webHidden/>
              </w:rPr>
            </w:r>
            <w:r w:rsidR="00C03985" w:rsidRPr="00A63126">
              <w:rPr>
                <w:noProof/>
                <w:webHidden/>
              </w:rPr>
              <w:fldChar w:fldCharType="separate"/>
            </w:r>
            <w:r w:rsidR="00E664DC" w:rsidRPr="003C528A">
              <w:rPr>
                <w:noProof/>
                <w:webHidden/>
              </w:rPr>
              <w:t>21</w:t>
            </w:r>
            <w:r w:rsidR="00C03985" w:rsidRPr="00A63126">
              <w:rPr>
                <w:noProof/>
                <w:webHidden/>
              </w:rPr>
              <w:fldChar w:fldCharType="end"/>
            </w:r>
          </w:hyperlink>
        </w:p>
        <w:p w14:paraId="2E7A804C" w14:textId="19DAAB50" w:rsidR="00C03985" w:rsidRPr="003C528A" w:rsidRDefault="00163D55">
          <w:pPr>
            <w:pStyle w:val="TOC3"/>
            <w:tabs>
              <w:tab w:val="left" w:pos="1320"/>
              <w:tab w:val="right" w:leader="dot" w:pos="9016"/>
            </w:tabs>
            <w:rPr>
              <w:rFonts w:asciiTheme="minorHAnsi" w:eastAsiaTheme="minorEastAsia" w:hAnsiTheme="minorHAnsi"/>
              <w:noProof/>
              <w:sz w:val="22"/>
              <w:lang w:val="fr-BE" w:eastAsia="fr-BE"/>
            </w:rPr>
          </w:pPr>
          <w:hyperlink w:anchor="_Toc24983389" w:history="1">
            <w:r w:rsidR="00C03985" w:rsidRPr="003C528A">
              <w:rPr>
                <w:rStyle w:val="Hyperlink"/>
                <w:noProof/>
              </w:rPr>
              <w:t>3.2.5</w:t>
            </w:r>
            <w:r w:rsidR="00C03985" w:rsidRPr="003C528A">
              <w:rPr>
                <w:rFonts w:asciiTheme="minorHAnsi" w:eastAsiaTheme="minorEastAsia" w:hAnsiTheme="minorHAnsi"/>
                <w:noProof/>
                <w:sz w:val="22"/>
                <w:lang w:val="fr-BE" w:eastAsia="fr-BE"/>
              </w:rPr>
              <w:tab/>
            </w:r>
            <w:r w:rsidR="00C03985" w:rsidRPr="003C528A">
              <w:rPr>
                <w:rStyle w:val="Hyperlink"/>
                <w:noProof/>
              </w:rPr>
              <w:t>Education and training infrastructure</w:t>
            </w:r>
            <w:r w:rsidR="00C03985" w:rsidRPr="003C528A">
              <w:rPr>
                <w:noProof/>
                <w:webHidden/>
              </w:rPr>
              <w:tab/>
            </w:r>
            <w:r w:rsidR="00C03985" w:rsidRPr="00A63126">
              <w:rPr>
                <w:noProof/>
                <w:webHidden/>
              </w:rPr>
              <w:fldChar w:fldCharType="begin"/>
            </w:r>
            <w:r w:rsidR="00C03985" w:rsidRPr="003C528A">
              <w:rPr>
                <w:noProof/>
                <w:webHidden/>
              </w:rPr>
              <w:instrText xml:space="preserve"> PAGEREF _Toc24983389 \h </w:instrText>
            </w:r>
            <w:r w:rsidR="00C03985" w:rsidRPr="00A63126">
              <w:rPr>
                <w:noProof/>
                <w:webHidden/>
              </w:rPr>
            </w:r>
            <w:r w:rsidR="00C03985" w:rsidRPr="00A63126">
              <w:rPr>
                <w:noProof/>
                <w:webHidden/>
              </w:rPr>
              <w:fldChar w:fldCharType="separate"/>
            </w:r>
            <w:r w:rsidR="00E664DC" w:rsidRPr="003C528A">
              <w:rPr>
                <w:noProof/>
                <w:webHidden/>
              </w:rPr>
              <w:t>22</w:t>
            </w:r>
            <w:r w:rsidR="00C03985" w:rsidRPr="00A63126">
              <w:rPr>
                <w:noProof/>
                <w:webHidden/>
              </w:rPr>
              <w:fldChar w:fldCharType="end"/>
            </w:r>
          </w:hyperlink>
        </w:p>
        <w:p w14:paraId="2C98B9DA" w14:textId="70596518" w:rsidR="00C03985" w:rsidRPr="003C528A" w:rsidRDefault="00163D55">
          <w:pPr>
            <w:pStyle w:val="TOC2"/>
            <w:rPr>
              <w:rFonts w:asciiTheme="minorHAnsi" w:eastAsiaTheme="minorEastAsia" w:hAnsiTheme="minorHAnsi"/>
              <w:noProof/>
              <w:sz w:val="22"/>
              <w:lang w:val="fr-BE" w:eastAsia="fr-BE"/>
            </w:rPr>
          </w:pPr>
          <w:hyperlink w:anchor="_Toc24983391" w:history="1">
            <w:r w:rsidR="00C03985" w:rsidRPr="00BB3757">
              <w:rPr>
                <w:rStyle w:val="Hyperlink"/>
                <w:noProof/>
              </w:rPr>
              <w:t>3.3</w:t>
            </w:r>
            <w:r w:rsidR="00C03985" w:rsidRPr="003C528A">
              <w:rPr>
                <w:rFonts w:asciiTheme="minorHAnsi" w:eastAsiaTheme="minorEastAsia" w:hAnsiTheme="minorHAnsi"/>
                <w:noProof/>
                <w:sz w:val="22"/>
                <w:lang w:val="fr-BE" w:eastAsia="fr-BE"/>
              </w:rPr>
              <w:tab/>
            </w:r>
            <w:r w:rsidR="00C03985" w:rsidRPr="00BB3757">
              <w:rPr>
                <w:rStyle w:val="Hyperlink"/>
                <w:noProof/>
              </w:rPr>
              <w:t>Funding needs and types of EU-level financial instruments</w:t>
            </w:r>
            <w:r w:rsidR="00C03985" w:rsidRPr="003C528A">
              <w:rPr>
                <w:noProof/>
                <w:webHidden/>
              </w:rPr>
              <w:tab/>
            </w:r>
            <w:r w:rsidR="00C03985" w:rsidRPr="00A63126">
              <w:rPr>
                <w:noProof/>
                <w:webHidden/>
              </w:rPr>
              <w:fldChar w:fldCharType="begin"/>
            </w:r>
            <w:r w:rsidR="00C03985" w:rsidRPr="003C528A">
              <w:rPr>
                <w:noProof/>
                <w:webHidden/>
              </w:rPr>
              <w:instrText xml:space="preserve"> PAGEREF _Toc24983391 \h </w:instrText>
            </w:r>
            <w:r w:rsidR="00C03985" w:rsidRPr="00A63126">
              <w:rPr>
                <w:noProof/>
                <w:webHidden/>
              </w:rPr>
            </w:r>
            <w:r w:rsidR="00C03985" w:rsidRPr="00A63126">
              <w:rPr>
                <w:noProof/>
                <w:webHidden/>
              </w:rPr>
              <w:fldChar w:fldCharType="separate"/>
            </w:r>
            <w:r w:rsidR="00E664DC" w:rsidRPr="003C528A">
              <w:rPr>
                <w:noProof/>
                <w:webHidden/>
              </w:rPr>
              <w:t>23</w:t>
            </w:r>
            <w:r w:rsidR="00C03985" w:rsidRPr="00A63126">
              <w:rPr>
                <w:noProof/>
                <w:webHidden/>
              </w:rPr>
              <w:fldChar w:fldCharType="end"/>
            </w:r>
          </w:hyperlink>
        </w:p>
        <w:p w14:paraId="604218E9" w14:textId="749FD0C7" w:rsidR="00B819A7" w:rsidRPr="003C528A" w:rsidRDefault="00B819A7" w:rsidP="00D245D5">
          <w:pPr>
            <w:pStyle w:val="TOC2"/>
          </w:pPr>
          <w:r w:rsidRPr="00A63126">
            <w:rPr>
              <w:rStyle w:val="Hyperlink"/>
            </w:rPr>
            <w:fldChar w:fldCharType="end"/>
          </w:r>
        </w:p>
      </w:sdtContent>
    </w:sdt>
    <w:p w14:paraId="62C2956F" w14:textId="77777777" w:rsidR="00B819A7" w:rsidRPr="003C528A" w:rsidRDefault="00B819A7" w:rsidP="00B819A7">
      <w:pPr>
        <w:pStyle w:val="Heading1"/>
        <w:numPr>
          <w:ilvl w:val="0"/>
          <w:numId w:val="0"/>
        </w:numPr>
        <w:ind w:left="432" w:hanging="432"/>
      </w:pPr>
    </w:p>
    <w:p w14:paraId="5DEBA7A7" w14:textId="77777777" w:rsidR="00B819A7" w:rsidRPr="003C528A" w:rsidRDefault="00B819A7">
      <w:pPr>
        <w:rPr>
          <w:rFonts w:asciiTheme="majorHAnsi" w:eastAsiaTheme="majorEastAsia" w:hAnsiTheme="majorHAnsi" w:cstheme="majorBidi"/>
          <w:color w:val="365F91" w:themeColor="accent1" w:themeShade="BF"/>
          <w:sz w:val="32"/>
          <w:szCs w:val="32"/>
        </w:rPr>
      </w:pPr>
      <w:r w:rsidRPr="003C528A">
        <w:br w:type="page"/>
      </w:r>
    </w:p>
    <w:p w14:paraId="348B93D3" w14:textId="77777777" w:rsidR="00B819A7" w:rsidRPr="003C528A" w:rsidRDefault="00AC312B" w:rsidP="00377AC8">
      <w:pPr>
        <w:pStyle w:val="Heading1"/>
        <w:numPr>
          <w:ilvl w:val="0"/>
          <w:numId w:val="0"/>
        </w:numPr>
        <w:ind w:left="432" w:hanging="432"/>
      </w:pPr>
      <w:bookmarkStart w:id="0" w:name="_Toc24726223"/>
      <w:bookmarkStart w:id="1" w:name="_Toc24732642"/>
      <w:bookmarkStart w:id="2" w:name="_Toc24983373"/>
      <w:r w:rsidRPr="003C528A">
        <w:lastRenderedPageBreak/>
        <w:t>Introduction</w:t>
      </w:r>
      <w:bookmarkEnd w:id="0"/>
      <w:bookmarkEnd w:id="1"/>
      <w:bookmarkEnd w:id="2"/>
    </w:p>
    <w:p w14:paraId="69B2DD8A" w14:textId="21A18A27" w:rsidR="00222CC3" w:rsidRPr="003C528A" w:rsidRDefault="00BC24FC" w:rsidP="008919BC">
      <w:r w:rsidRPr="003C528A">
        <w:t>This</w:t>
      </w:r>
      <w:r w:rsidR="00E97F58" w:rsidRPr="003C528A">
        <w:t xml:space="preserve"> policy notes describes policy objectives and </w:t>
      </w:r>
      <w:r w:rsidR="00EB1D65" w:rsidRPr="003C528A">
        <w:t xml:space="preserve">the </w:t>
      </w:r>
      <w:r w:rsidR="00E97F58" w:rsidRPr="003C528A">
        <w:t>rational</w:t>
      </w:r>
      <w:r w:rsidR="00EB1D65" w:rsidRPr="003C528A">
        <w:t>e</w:t>
      </w:r>
      <w:r w:rsidR="00E97F58" w:rsidRPr="003C528A">
        <w:t xml:space="preserve"> for different</w:t>
      </w:r>
      <w:r w:rsidRPr="003C528A">
        <w:t xml:space="preserve"> financial product</w:t>
      </w:r>
      <w:r w:rsidR="00EB1D65" w:rsidRPr="003C528A">
        <w:t>s</w:t>
      </w:r>
      <w:r w:rsidRPr="003C528A">
        <w:t xml:space="preserve"> supported by </w:t>
      </w:r>
      <w:r w:rsidR="00C260B8" w:rsidRPr="003C528A">
        <w:t xml:space="preserve">the </w:t>
      </w:r>
      <w:r w:rsidR="00D15E8A" w:rsidRPr="003C528A">
        <w:t>S</w:t>
      </w:r>
      <w:r w:rsidR="00C260B8" w:rsidRPr="003C528A">
        <w:t xml:space="preserve">ocial </w:t>
      </w:r>
      <w:r w:rsidR="00D15E8A" w:rsidRPr="003C528A">
        <w:t>I</w:t>
      </w:r>
      <w:r w:rsidR="00C260B8" w:rsidRPr="003C528A">
        <w:t xml:space="preserve">nvestment and Skills </w:t>
      </w:r>
      <w:r w:rsidR="00D15E8A" w:rsidRPr="003C528A">
        <w:t>W</w:t>
      </w:r>
      <w:r w:rsidR="00C260B8" w:rsidRPr="003C528A">
        <w:t>indow (SISW)</w:t>
      </w:r>
      <w:r w:rsidR="00EB1D65" w:rsidRPr="003C528A">
        <w:t xml:space="preserve"> of InvestEU</w:t>
      </w:r>
      <w:r w:rsidRPr="003C528A">
        <w:t xml:space="preserve">. </w:t>
      </w:r>
    </w:p>
    <w:p w14:paraId="5B184CA5" w14:textId="02E4391D" w:rsidR="00377AC8" w:rsidRPr="003C528A" w:rsidRDefault="00377AC8" w:rsidP="00377AC8">
      <w:pPr>
        <w:rPr>
          <w:i/>
        </w:rPr>
      </w:pPr>
      <w:r w:rsidRPr="003C528A">
        <w:rPr>
          <w:i/>
        </w:rPr>
        <w:t xml:space="preserve">[This policy note </w:t>
      </w:r>
      <w:r w:rsidR="00C260B8" w:rsidRPr="003C528A">
        <w:rPr>
          <w:i/>
        </w:rPr>
        <w:t>is still work in progress. It will</w:t>
      </w:r>
      <w:r w:rsidRPr="003C528A">
        <w:rPr>
          <w:i/>
        </w:rPr>
        <w:t xml:space="preserve"> be updated to align with further policy developments in the context of final decisions under the MFF and </w:t>
      </w:r>
      <w:r w:rsidR="00C260B8" w:rsidRPr="003C528A">
        <w:rPr>
          <w:i/>
        </w:rPr>
        <w:t>the new Commission</w:t>
      </w:r>
      <w:r w:rsidRPr="003C528A">
        <w:rPr>
          <w:i/>
        </w:rPr>
        <w:t xml:space="preserve">.] </w:t>
      </w:r>
    </w:p>
    <w:p w14:paraId="5A828949" w14:textId="5F811C7A" w:rsidR="00A445E1" w:rsidRPr="003C528A" w:rsidRDefault="00A445E1" w:rsidP="003A0D24">
      <w:pPr>
        <w:pStyle w:val="Heading1"/>
        <w:spacing w:after="240"/>
        <w:ind w:left="431" w:hanging="431"/>
      </w:pPr>
      <w:bookmarkStart w:id="3" w:name="_Toc24726224"/>
      <w:bookmarkStart w:id="4" w:name="_Toc24732643"/>
      <w:bookmarkStart w:id="5" w:name="_Toc24983374"/>
      <w:r w:rsidRPr="003C528A">
        <w:t xml:space="preserve">InvestEU for </w:t>
      </w:r>
      <w:r w:rsidR="003A0D24" w:rsidRPr="003C528A">
        <w:t>microfinance and social enterprises</w:t>
      </w:r>
      <w:r w:rsidR="00241FD5" w:rsidRPr="003C528A">
        <w:t>, social impact and social innovation</w:t>
      </w:r>
      <w:bookmarkEnd w:id="3"/>
      <w:bookmarkEnd w:id="4"/>
      <w:bookmarkEnd w:id="5"/>
    </w:p>
    <w:p w14:paraId="02577C5D" w14:textId="37E95794" w:rsidR="00DB7EB2" w:rsidRPr="003C528A" w:rsidRDefault="003A0D24" w:rsidP="003A0D24">
      <w:pPr>
        <w:pStyle w:val="Heading2"/>
        <w:spacing w:after="120"/>
        <w:ind w:left="578" w:hanging="578"/>
      </w:pPr>
      <w:bookmarkStart w:id="6" w:name="_Toc24732644"/>
      <w:bookmarkStart w:id="7" w:name="_Toc24726225"/>
      <w:bookmarkStart w:id="8" w:name="_Toc24983375"/>
      <w:bookmarkStart w:id="9" w:name="_Ref19005851"/>
      <w:r w:rsidRPr="003C528A">
        <w:t xml:space="preserve">Rationale for supporting investment in </w:t>
      </w:r>
      <w:r w:rsidR="00244BDF" w:rsidRPr="003C528A">
        <w:t xml:space="preserve">microfinance, </w:t>
      </w:r>
      <w:r w:rsidRPr="003C528A">
        <w:t>social enterprises</w:t>
      </w:r>
      <w:r w:rsidR="009D6B83" w:rsidRPr="003C528A">
        <w:t>, social impact and social innovation</w:t>
      </w:r>
      <w:bookmarkEnd w:id="6"/>
      <w:r w:rsidRPr="003C528A">
        <w:t xml:space="preserve"> </w:t>
      </w:r>
      <w:bookmarkEnd w:id="7"/>
      <w:bookmarkEnd w:id="8"/>
    </w:p>
    <w:p w14:paraId="56758A76" w14:textId="3936395C" w:rsidR="003A0D24" w:rsidRPr="003C528A" w:rsidRDefault="003A0D24" w:rsidP="003A0D24">
      <w:pPr>
        <w:rPr>
          <w:rFonts w:cs="Times New Roman"/>
          <w:lang w:val="en-IE"/>
        </w:rPr>
      </w:pPr>
      <w:r w:rsidRPr="003C528A">
        <w:rPr>
          <w:rFonts w:cs="Times New Roman"/>
          <w:lang w:val="en-IE"/>
        </w:rPr>
        <w:t>Microfinance</w:t>
      </w:r>
      <w:r w:rsidRPr="003C528A">
        <w:rPr>
          <w:rStyle w:val="FootnoteReference"/>
          <w:rFonts w:cs="Times New Roman"/>
          <w:lang w:val="en-IE"/>
        </w:rPr>
        <w:footnoteReference w:id="2"/>
      </w:r>
      <w:r w:rsidRPr="003C528A">
        <w:rPr>
          <w:rFonts w:cs="Times New Roman"/>
          <w:lang w:val="en-IE"/>
        </w:rPr>
        <w:t xml:space="preserve"> refers to small loans of up to [EUR </w:t>
      </w:r>
      <w:r w:rsidR="004236EC" w:rsidRPr="003C528A">
        <w:rPr>
          <w:rFonts w:cs="Times New Roman"/>
          <w:lang w:val="en-IE"/>
        </w:rPr>
        <w:t>50</w:t>
      </w:r>
      <w:r w:rsidRPr="003C528A">
        <w:rPr>
          <w:rFonts w:cs="Times New Roman"/>
          <w:lang w:val="en-IE"/>
        </w:rPr>
        <w:t xml:space="preserve"> 000] and accompanying support targeted at micro-enterprises</w:t>
      </w:r>
      <w:r w:rsidRPr="003C528A">
        <w:rPr>
          <w:rStyle w:val="FootnoteReference"/>
          <w:rFonts w:cs="Times New Roman"/>
          <w:lang w:val="en-IE"/>
        </w:rPr>
        <w:footnoteReference w:id="3"/>
      </w:r>
      <w:r w:rsidRPr="003C528A">
        <w:rPr>
          <w:rFonts w:cs="Times New Roman"/>
          <w:lang w:val="en-IE"/>
        </w:rPr>
        <w:t xml:space="preserve"> and entrepreneurs, including the self-employed, from vulnerable backgrounds</w:t>
      </w:r>
      <w:r w:rsidR="00750C24" w:rsidRPr="003C528A">
        <w:rPr>
          <w:rFonts w:cs="Times New Roman"/>
          <w:lang w:val="en-IE"/>
        </w:rPr>
        <w:t xml:space="preserve">, </w:t>
      </w:r>
      <w:r w:rsidRPr="003C528A">
        <w:rPr>
          <w:rFonts w:cs="Times New Roman"/>
          <w:lang w:val="en-IE"/>
        </w:rPr>
        <w:t>often lacking collateral and credit histories. Meanwhile, social enterprise finance is about supporting social enterprises i.e. companies with an explicit primary objective to generate a positive social or societal impact and which largely re-invest their profits to advance this goal.</w:t>
      </w:r>
    </w:p>
    <w:p w14:paraId="764DA4EF" w14:textId="77777777" w:rsidR="003A0D24" w:rsidRPr="003C528A" w:rsidRDefault="003A0D24" w:rsidP="003A0D24">
      <w:pPr>
        <w:rPr>
          <w:rFonts w:cs="Times New Roman"/>
          <w:lang w:val="en-IE"/>
        </w:rPr>
      </w:pPr>
      <w:r w:rsidRPr="003C528A">
        <w:rPr>
          <w:rFonts w:cs="Times New Roman"/>
          <w:lang w:val="en-IE"/>
        </w:rPr>
        <w:t xml:space="preserve">Both microfinance and social enterprise finance are </w:t>
      </w:r>
      <w:r w:rsidRPr="003C528A">
        <w:rPr>
          <w:rFonts w:cs="Times New Roman"/>
          <w:b/>
          <w:lang w:val="en-IE"/>
        </w:rPr>
        <w:t>still recent developments in Europe</w:t>
      </w:r>
      <w:r w:rsidRPr="003C528A">
        <w:rPr>
          <w:rFonts w:cs="Times New Roman"/>
          <w:lang w:val="en-IE"/>
        </w:rPr>
        <w:t xml:space="preserve"> and part of an emerging market ecosystem that is not yet fully developed. They play an increasingly important role in the European economy in terms of promoting active labour market participation, creating jobs and building a fairer and more inclusive Union.</w:t>
      </w:r>
    </w:p>
    <w:p w14:paraId="1BBD5D63" w14:textId="6A6B68A2" w:rsidR="003A0D24" w:rsidRPr="003C528A" w:rsidRDefault="003A0D24" w:rsidP="003A0D24">
      <w:pPr>
        <w:rPr>
          <w:rFonts w:cs="Times New Roman"/>
          <w:lang w:val="en-IE"/>
        </w:rPr>
      </w:pPr>
      <w:r w:rsidRPr="003C528A">
        <w:rPr>
          <w:rFonts w:cs="Times New Roman"/>
          <w:lang w:val="en-IE"/>
        </w:rPr>
        <w:t xml:space="preserve">Generally, micro-enterprises and social enterprises face continued </w:t>
      </w:r>
      <w:r w:rsidRPr="003C528A">
        <w:rPr>
          <w:rFonts w:cs="Times New Roman"/>
          <w:b/>
          <w:lang w:val="en-IE"/>
        </w:rPr>
        <w:t>difficulties in accessing finance to start up and scale up</w:t>
      </w:r>
      <w:r w:rsidRPr="003C528A">
        <w:rPr>
          <w:rFonts w:cs="Times New Roman"/>
          <w:lang w:val="en-IE"/>
        </w:rPr>
        <w:t xml:space="preserve"> often due to a lack of collateral and credit history</w:t>
      </w:r>
      <w:r w:rsidRPr="003C528A">
        <w:rPr>
          <w:rFonts w:cs="Times New Roman"/>
        </w:rPr>
        <w:t>. In addition,</w:t>
      </w:r>
      <w:r w:rsidRPr="003C528A">
        <w:rPr>
          <w:rFonts w:cs="Times New Roman"/>
          <w:lang w:val="en-IE"/>
        </w:rPr>
        <w:t xml:space="preserve"> public funding in this area is still lacking, especially at the national level.</w:t>
      </w:r>
      <w:r w:rsidR="003A2466" w:rsidRPr="003C528A">
        <w:rPr>
          <w:rFonts w:cs="Times New Roman"/>
          <w:lang w:val="en-IE"/>
        </w:rPr>
        <w:t xml:space="preserve"> </w:t>
      </w:r>
    </w:p>
    <w:p w14:paraId="7529ACDA" w14:textId="1ED3C3D6" w:rsidR="00E42C1E" w:rsidRPr="003C528A" w:rsidRDefault="003A0D24" w:rsidP="003A0D24">
      <w:pPr>
        <w:rPr>
          <w:rFonts w:cs="Times New Roman"/>
          <w:lang w:val="en-IE"/>
        </w:rPr>
      </w:pPr>
      <w:r w:rsidRPr="003C528A">
        <w:rPr>
          <w:rFonts w:cs="Times New Roman"/>
          <w:lang w:val="en-IE"/>
        </w:rPr>
        <w:t>In response, at the European level</w:t>
      </w:r>
      <w:r w:rsidRPr="003C528A">
        <w:rPr>
          <w:rFonts w:cs="Times New Roman"/>
        </w:rPr>
        <w:t xml:space="preserve">, </w:t>
      </w:r>
      <w:r w:rsidRPr="003C528A">
        <w:rPr>
          <w:rFonts w:cs="Times New Roman"/>
          <w:lang w:val="en-IE"/>
        </w:rPr>
        <w:t>the EU Programme for Employment and Social Innovation (EaSI) (EU Regulation No. 1296/2013) devotes around EUR 200 million for improving access to, and the availability of, microfinance and social enterprise finance in the current programming period 2014-2020. Together with the added firepower of the European Fund for Strategic Investments (EFSI) and the European Investment Bank Group, the total Union support has reached close to EUR 800 million, which in turn is expected to unlock more than EUR 3 billion of financing for micro- and social enterprises.</w:t>
      </w:r>
    </w:p>
    <w:p w14:paraId="044CB966" w14:textId="0DD1A8E7" w:rsidR="003A0D24" w:rsidRPr="003C528A" w:rsidRDefault="003A0D24" w:rsidP="003A0D24">
      <w:pPr>
        <w:rPr>
          <w:rFonts w:cs="Times New Roman"/>
          <w:lang w:val="en-IE"/>
        </w:rPr>
      </w:pPr>
      <w:r w:rsidRPr="003C528A">
        <w:rPr>
          <w:rFonts w:cs="Times New Roman"/>
          <w:lang w:val="en-IE"/>
        </w:rPr>
        <w:lastRenderedPageBreak/>
        <w:t>In spite of the successful market take-up of the EU-level financial instruments</w:t>
      </w:r>
      <w:r w:rsidR="00E42C1E" w:rsidRPr="003C528A">
        <w:rPr>
          <w:rFonts w:cs="Times New Roman"/>
          <w:lang w:val="en-IE"/>
        </w:rPr>
        <w:t xml:space="preserve"> mentioned above</w:t>
      </w:r>
      <w:r w:rsidRPr="003C528A">
        <w:rPr>
          <w:rFonts w:cs="Times New Roman"/>
          <w:lang w:val="en-IE"/>
        </w:rPr>
        <w:t xml:space="preserve">, one of the main criticisms currently levelled by stakeholders is precisely the </w:t>
      </w:r>
      <w:r w:rsidRPr="003C528A">
        <w:rPr>
          <w:rFonts w:cs="Times New Roman"/>
          <w:b/>
          <w:lang w:val="en-IE"/>
        </w:rPr>
        <w:t>need for significantly more Union support in light of the insufficient resources allocated</w:t>
      </w:r>
      <w:r w:rsidRPr="003C528A">
        <w:rPr>
          <w:rFonts w:cs="Times New Roman"/>
          <w:lang w:val="en-IE"/>
        </w:rPr>
        <w:t xml:space="preserve"> in order to bridge the financing gap. In addition, stakeholders have voiced complaints that EFSI was "not social enough".</w:t>
      </w:r>
    </w:p>
    <w:p w14:paraId="0E7121F3" w14:textId="77777777" w:rsidR="003A0D24" w:rsidRPr="003C528A" w:rsidRDefault="003A0D24" w:rsidP="003A0D24">
      <w:pPr>
        <w:rPr>
          <w:rFonts w:cs="Times New Roman"/>
          <w:lang w:val="en-IE"/>
        </w:rPr>
      </w:pPr>
      <w:r w:rsidRPr="003C528A">
        <w:rPr>
          <w:rFonts w:cs="Times New Roman"/>
          <w:lang w:val="en-IE"/>
        </w:rPr>
        <w:t>While an EIB Investment Report</w:t>
      </w:r>
      <w:r w:rsidRPr="003C528A">
        <w:rPr>
          <w:rStyle w:val="FootnoteReference"/>
          <w:rFonts w:cs="Times New Roman"/>
          <w:lang w:val="en-IE"/>
        </w:rPr>
        <w:footnoteReference w:id="4"/>
      </w:r>
      <w:r w:rsidRPr="003C528A">
        <w:rPr>
          <w:rFonts w:cs="Times New Roman"/>
          <w:lang w:val="en-IE"/>
        </w:rPr>
        <w:t xml:space="preserve"> highlighted that the investment recovery has firmed and access to finance has generally been improving at the company level, </w:t>
      </w:r>
      <w:r w:rsidRPr="003C528A">
        <w:rPr>
          <w:rFonts w:cs="Times New Roman"/>
          <w:b/>
          <w:lang w:val="en-IE"/>
        </w:rPr>
        <w:t>significant EU-wide market failures and sub-optimal investment situations remain</w:t>
      </w:r>
      <w:r w:rsidRPr="003C528A">
        <w:rPr>
          <w:rFonts w:cs="Times New Roman"/>
          <w:lang w:val="en-IE"/>
        </w:rPr>
        <w:t>. Furthermore, from a policy point of view, it is crucial to ensure that economic growth is more socially inclusive.</w:t>
      </w:r>
    </w:p>
    <w:p w14:paraId="3C74B62B" w14:textId="11F9FF40" w:rsidR="0006705A" w:rsidRPr="003C528A" w:rsidRDefault="00FA7726" w:rsidP="00611E29">
      <w:pPr>
        <w:spacing w:after="240"/>
        <w:rPr>
          <w:rFonts w:cs="Times New Roman"/>
          <w:lang w:val="en-IE"/>
        </w:rPr>
      </w:pPr>
      <w:r w:rsidRPr="003C528A">
        <w:rPr>
          <w:rFonts w:cs="Times New Roman"/>
          <w:lang w:val="en-IE"/>
        </w:rPr>
        <w:t xml:space="preserve">Social investments through microfinance and social enterprises have a considerable potential to help achieving </w:t>
      </w:r>
      <w:r w:rsidRPr="003C528A">
        <w:rPr>
          <w:rFonts w:cs="Times New Roman"/>
          <w:b/>
          <w:lang w:val="en-IE"/>
        </w:rPr>
        <w:t xml:space="preserve">major </w:t>
      </w:r>
      <w:r w:rsidR="00500626" w:rsidRPr="003C528A">
        <w:rPr>
          <w:rFonts w:cs="Times New Roman"/>
          <w:b/>
          <w:lang w:val="en-IE"/>
        </w:rPr>
        <w:t xml:space="preserve">EU </w:t>
      </w:r>
      <w:r w:rsidRPr="003C528A">
        <w:rPr>
          <w:rFonts w:cs="Times New Roman"/>
          <w:b/>
          <w:lang w:val="en-IE"/>
        </w:rPr>
        <w:t>policy priorities</w:t>
      </w:r>
      <w:r w:rsidRPr="003C528A">
        <w:rPr>
          <w:rFonts w:cs="Times New Roman"/>
          <w:lang w:val="en-IE"/>
        </w:rPr>
        <w:t>. For instance, measures to support the integration of</w:t>
      </w:r>
      <w:r w:rsidR="00E664DC" w:rsidRPr="003C528A">
        <w:rPr>
          <w:rFonts w:cs="Times New Roman"/>
          <w:lang w:val="en-IE"/>
        </w:rPr>
        <w:t xml:space="preserve"> under-represented and vulnerable groups including the </w:t>
      </w:r>
      <w:r w:rsidR="00E664DC" w:rsidRPr="00BB3757">
        <w:rPr>
          <w:rFonts w:cs="Times New Roman"/>
          <w:lang w:val="en-IE"/>
        </w:rPr>
        <w:t>unemployed</w:t>
      </w:r>
      <w:r w:rsidR="00E664DC" w:rsidRPr="003C528A">
        <w:rPr>
          <w:rFonts w:cs="Times New Roman"/>
          <w:lang w:val="en-IE"/>
        </w:rPr>
        <w:t xml:space="preserve">, women, young people, </w:t>
      </w:r>
      <w:r w:rsidRPr="003C528A">
        <w:rPr>
          <w:rFonts w:cs="Times New Roman"/>
          <w:lang w:val="en-IE"/>
        </w:rPr>
        <w:t>migrants</w:t>
      </w:r>
      <w:r w:rsidR="007B3010" w:rsidRPr="003C528A">
        <w:rPr>
          <w:rFonts w:cs="Times New Roman"/>
          <w:lang w:val="en-IE"/>
        </w:rPr>
        <w:t xml:space="preserve">, </w:t>
      </w:r>
      <w:r w:rsidR="00E664DC" w:rsidRPr="00BB3757">
        <w:rPr>
          <w:rFonts w:cs="Times New Roman"/>
          <w:lang w:val="en-IE"/>
        </w:rPr>
        <w:t xml:space="preserve">people with disabilities </w:t>
      </w:r>
      <w:r w:rsidR="007B3010" w:rsidRPr="003C528A">
        <w:rPr>
          <w:rFonts w:cs="Times New Roman"/>
          <w:lang w:val="en-IE"/>
        </w:rPr>
        <w:t>and rural population</w:t>
      </w:r>
      <w:r w:rsidRPr="003C528A">
        <w:rPr>
          <w:rFonts w:cs="Times New Roman"/>
          <w:lang w:val="en-IE"/>
        </w:rPr>
        <w:t xml:space="preserve"> require </w:t>
      </w:r>
      <w:r w:rsidR="009D6B83" w:rsidRPr="003C528A">
        <w:rPr>
          <w:rFonts w:cs="Times New Roman"/>
          <w:lang w:val="en-IE"/>
        </w:rPr>
        <w:t xml:space="preserve">a </w:t>
      </w:r>
      <w:r w:rsidRPr="003C528A">
        <w:rPr>
          <w:rFonts w:cs="Times New Roman"/>
          <w:lang w:val="en-IE"/>
        </w:rPr>
        <w:t>substantial level of resources</w:t>
      </w:r>
      <w:r w:rsidR="00E77C51" w:rsidRPr="003C528A">
        <w:rPr>
          <w:rFonts w:cs="Times New Roman"/>
          <w:lang w:val="en-IE"/>
        </w:rPr>
        <w:t>,</w:t>
      </w:r>
      <w:r w:rsidRPr="003C528A">
        <w:rPr>
          <w:rFonts w:cs="Times New Roman"/>
          <w:lang w:val="en-IE"/>
        </w:rPr>
        <w:t xml:space="preserve"> </w:t>
      </w:r>
      <w:r w:rsidR="00E77C51" w:rsidRPr="003C528A">
        <w:rPr>
          <w:rFonts w:cs="Times New Roman"/>
          <w:lang w:val="en-IE"/>
        </w:rPr>
        <w:t xml:space="preserve">which are </w:t>
      </w:r>
      <w:r w:rsidRPr="003C528A">
        <w:rPr>
          <w:rFonts w:cs="Times New Roman"/>
          <w:lang w:val="en-IE"/>
        </w:rPr>
        <w:t xml:space="preserve">only partially available in public budgets. The use of </w:t>
      </w:r>
      <w:r w:rsidR="00E42C1E" w:rsidRPr="003C528A">
        <w:rPr>
          <w:rFonts w:cs="Times New Roman"/>
          <w:lang w:val="en-IE"/>
        </w:rPr>
        <w:t>repayable forms of financing</w:t>
      </w:r>
      <w:r w:rsidRPr="003C528A">
        <w:rPr>
          <w:rFonts w:cs="Times New Roman"/>
          <w:lang w:val="en-IE"/>
        </w:rPr>
        <w:t xml:space="preserve"> can help mobilis</w:t>
      </w:r>
      <w:r w:rsidR="00E42C1E" w:rsidRPr="003C528A">
        <w:rPr>
          <w:rFonts w:cs="Times New Roman"/>
          <w:lang w:val="en-IE"/>
        </w:rPr>
        <w:t>e</w:t>
      </w:r>
      <w:r w:rsidRPr="003C528A">
        <w:rPr>
          <w:rFonts w:cs="Times New Roman"/>
          <w:lang w:val="en-IE"/>
        </w:rPr>
        <w:t xml:space="preserve"> additional resources to overcome huge barriers faced by </w:t>
      </w:r>
      <w:r w:rsidR="007B3010" w:rsidRPr="003C528A">
        <w:rPr>
          <w:rFonts w:cs="Times New Roman"/>
          <w:lang w:val="en-IE"/>
        </w:rPr>
        <w:t>underrepresented and vulnerable</w:t>
      </w:r>
      <w:r w:rsidR="00E42C1E" w:rsidRPr="003C528A">
        <w:rPr>
          <w:rFonts w:cs="Times New Roman"/>
          <w:lang w:val="en-IE"/>
        </w:rPr>
        <w:t xml:space="preserve"> groups </w:t>
      </w:r>
      <w:r w:rsidRPr="003C528A">
        <w:rPr>
          <w:rFonts w:cs="Times New Roman"/>
          <w:lang w:val="en-IE"/>
        </w:rPr>
        <w:t xml:space="preserve">to access appropriate financing. </w:t>
      </w:r>
    </w:p>
    <w:p w14:paraId="2617ABC7" w14:textId="336D4BDA" w:rsidR="00DB7EB2" w:rsidRPr="003C528A" w:rsidRDefault="00E97FE2" w:rsidP="003A0D24">
      <w:pPr>
        <w:rPr>
          <w:rFonts w:cs="Times New Roman"/>
          <w:lang w:val="en-IE"/>
        </w:rPr>
      </w:pPr>
      <w:r w:rsidRPr="003C528A">
        <w:rPr>
          <w:rFonts w:cs="Times New Roman"/>
          <w:lang w:val="en-IE"/>
        </w:rPr>
        <w:t>In view of the above, b</w:t>
      </w:r>
      <w:r w:rsidR="003A0D24" w:rsidRPr="003C528A">
        <w:rPr>
          <w:rFonts w:cs="Times New Roman"/>
          <w:lang w:val="en-IE"/>
        </w:rPr>
        <w:t xml:space="preserve">oosting EU-backed investments in microfinance and social enterprise finance can </w:t>
      </w:r>
      <w:r w:rsidR="00E77C51" w:rsidRPr="003C528A">
        <w:rPr>
          <w:rFonts w:cs="Times New Roman"/>
          <w:lang w:val="en-IE"/>
        </w:rPr>
        <w:t xml:space="preserve">therefore </w:t>
      </w:r>
      <w:r w:rsidR="003A0D24" w:rsidRPr="003C528A">
        <w:rPr>
          <w:rFonts w:cs="Times New Roman"/>
          <w:lang w:val="en-IE"/>
        </w:rPr>
        <w:t xml:space="preserve">play an important role in </w:t>
      </w:r>
      <w:r w:rsidR="00E77C51" w:rsidRPr="003C528A">
        <w:rPr>
          <w:rFonts w:cs="Times New Roman"/>
          <w:lang w:val="en-IE"/>
        </w:rPr>
        <w:t>particular with a view to</w:t>
      </w:r>
      <w:r w:rsidR="003A0D24" w:rsidRPr="003C528A">
        <w:rPr>
          <w:rFonts w:cs="Times New Roman"/>
          <w:lang w:val="en-IE"/>
        </w:rPr>
        <w:t>: (i) bridging the financing gap that cannot be addressed at the national level alone, and (ii) catalysing systemic developments in the emerging ecosystems that would otherwise not happen without targeted EU-level interventions with a clear signalling and demonstration effect.</w:t>
      </w:r>
    </w:p>
    <w:p w14:paraId="7547C451" w14:textId="17E63236" w:rsidR="00E42C1E" w:rsidRPr="003C528A" w:rsidRDefault="00E42C1E" w:rsidP="00E42C1E">
      <w:pPr>
        <w:spacing w:after="240"/>
        <w:rPr>
          <w:rFonts w:cs="Times New Roman"/>
        </w:rPr>
      </w:pPr>
      <w:r w:rsidRPr="003C528A">
        <w:rPr>
          <w:rFonts w:cs="Times New Roman"/>
        </w:rPr>
        <w:t xml:space="preserve">Support to </w:t>
      </w:r>
      <w:r w:rsidR="00E664DC" w:rsidRPr="00BB3757">
        <w:rPr>
          <w:rFonts w:cs="Times New Roman"/>
          <w:b/>
        </w:rPr>
        <w:t>impact-driven enterprises</w:t>
      </w:r>
      <w:r w:rsidRPr="003C528A">
        <w:rPr>
          <w:rFonts w:cs="Times New Roman"/>
        </w:rPr>
        <w:t xml:space="preserve">, which act as drivers of social change, can complement </w:t>
      </w:r>
      <w:r w:rsidR="00611E29" w:rsidRPr="003C528A">
        <w:rPr>
          <w:rFonts w:cs="Times New Roman"/>
        </w:rPr>
        <w:t xml:space="preserve">and further enhance </w:t>
      </w:r>
      <w:r w:rsidRPr="003C528A">
        <w:rPr>
          <w:rFonts w:cs="Times New Roman"/>
        </w:rPr>
        <w:t xml:space="preserve">all these efforts. </w:t>
      </w:r>
    </w:p>
    <w:p w14:paraId="69E998E8" w14:textId="28F7315C" w:rsidR="00E42C1E" w:rsidRPr="003C528A" w:rsidRDefault="008F4A9E" w:rsidP="00E42C1E">
      <w:pPr>
        <w:spacing w:after="240"/>
        <w:rPr>
          <w:rFonts w:ascii="Arial" w:hAnsi="Arial" w:cs="Arial"/>
          <w:sz w:val="20"/>
          <w:szCs w:val="20"/>
        </w:rPr>
      </w:pPr>
      <w:r w:rsidRPr="003C528A">
        <w:rPr>
          <w:rFonts w:cs="Times New Roman"/>
        </w:rPr>
        <w:t xml:space="preserve">The main goal of </w:t>
      </w:r>
      <w:r w:rsidRPr="00BB3757">
        <w:rPr>
          <w:rFonts w:cs="Times New Roman"/>
        </w:rPr>
        <w:t>these</w:t>
      </w:r>
      <w:r w:rsidRPr="003C528A">
        <w:rPr>
          <w:rFonts w:cs="Times New Roman"/>
        </w:rPr>
        <w:t xml:space="preserve"> enterprises </w:t>
      </w:r>
      <w:r w:rsidRPr="00BB3757">
        <w:rPr>
          <w:rFonts w:cs="Times New Roman"/>
        </w:rPr>
        <w:t>is</w:t>
      </w:r>
      <w:r w:rsidR="00E42C1E" w:rsidRPr="003C528A">
        <w:rPr>
          <w:rFonts w:cs="Times New Roman"/>
        </w:rPr>
        <w:t xml:space="preserve"> the pursuit of impact, which refers to the </w:t>
      </w:r>
      <w:r w:rsidR="00E42C1E" w:rsidRPr="003C528A">
        <w:rPr>
          <w:rFonts w:cs="Times New Roman"/>
          <w:b/>
        </w:rPr>
        <w:t xml:space="preserve">positive net change to </w:t>
      </w:r>
      <w:r w:rsidRPr="00BB3757">
        <w:rPr>
          <w:rFonts w:cs="Times New Roman"/>
          <w:b/>
        </w:rPr>
        <w:t>society,</w:t>
      </w:r>
      <w:r w:rsidR="00E42C1E" w:rsidRPr="003C528A">
        <w:rPr>
          <w:rFonts w:cs="Times New Roman"/>
        </w:rPr>
        <w:t xml:space="preserve"> induced through the business activity or service provision of a company and </w:t>
      </w:r>
      <w:r w:rsidRPr="00BB3757">
        <w:rPr>
          <w:rFonts w:cs="Times New Roman"/>
        </w:rPr>
        <w:t>is</w:t>
      </w:r>
      <w:r w:rsidR="00E42C1E" w:rsidRPr="003C528A">
        <w:rPr>
          <w:rFonts w:cs="Times New Roman"/>
        </w:rPr>
        <w:t xml:space="preserve"> </w:t>
      </w:r>
      <w:r w:rsidR="00E42C1E" w:rsidRPr="003C528A">
        <w:rPr>
          <w:rFonts w:cs="Times New Roman"/>
          <w:b/>
        </w:rPr>
        <w:t>intentional and measurable</w:t>
      </w:r>
      <w:r w:rsidR="00E42C1E" w:rsidRPr="00BB3757">
        <w:rPr>
          <w:rFonts w:cs="Times New Roman"/>
        </w:rPr>
        <w:t>.</w:t>
      </w:r>
    </w:p>
    <w:p w14:paraId="6DC072BF" w14:textId="77777777" w:rsidR="00E42C1E" w:rsidRPr="003C528A" w:rsidRDefault="00E42C1E" w:rsidP="003A0D24">
      <w:pPr>
        <w:rPr>
          <w:rFonts w:cs="Times New Roman"/>
        </w:rPr>
      </w:pPr>
    </w:p>
    <w:p w14:paraId="5CD994E7" w14:textId="7728F09B" w:rsidR="00A445E1" w:rsidRPr="003C528A" w:rsidRDefault="003A0D24" w:rsidP="00E77C51">
      <w:pPr>
        <w:pStyle w:val="Heading2"/>
        <w:spacing w:after="120"/>
        <w:ind w:left="578" w:hanging="578"/>
      </w:pPr>
      <w:bookmarkStart w:id="10" w:name="_Toc24726226"/>
      <w:bookmarkStart w:id="11" w:name="_Toc24732645"/>
      <w:bookmarkStart w:id="12" w:name="_Toc24983376"/>
      <w:bookmarkEnd w:id="9"/>
      <w:r w:rsidRPr="003C528A">
        <w:t>Estimated EU-wide financing gaps</w:t>
      </w:r>
      <w:bookmarkEnd w:id="10"/>
      <w:bookmarkEnd w:id="11"/>
      <w:bookmarkEnd w:id="12"/>
    </w:p>
    <w:p w14:paraId="65F7FA5A" w14:textId="77777777" w:rsidR="003A0D24" w:rsidRPr="00BB3757" w:rsidRDefault="003A0D24" w:rsidP="003A0D24">
      <w:pPr>
        <w:pStyle w:val="ListParagraph"/>
        <w:numPr>
          <w:ilvl w:val="0"/>
          <w:numId w:val="23"/>
        </w:numPr>
        <w:spacing w:after="160" w:line="259" w:lineRule="auto"/>
        <w:rPr>
          <w:rStyle w:val="SubtleEmphasis"/>
          <w:rFonts w:eastAsiaTheme="minorEastAsia"/>
          <w:b/>
          <w:spacing w:val="15"/>
        </w:rPr>
      </w:pPr>
      <w:r w:rsidRPr="003C528A">
        <w:rPr>
          <w:rStyle w:val="SubtleEmphasis"/>
          <w:rFonts w:eastAsiaTheme="minorEastAsia"/>
          <w:b/>
          <w:spacing w:val="15"/>
        </w:rPr>
        <w:t>Microfinance</w:t>
      </w:r>
    </w:p>
    <w:p w14:paraId="754C2A54" w14:textId="77777777" w:rsidR="003A0D24" w:rsidRPr="003C528A" w:rsidRDefault="003A0D24" w:rsidP="003A0D24">
      <w:pPr>
        <w:rPr>
          <w:rFonts w:cs="Times New Roman"/>
          <w:lang w:val="en-IE"/>
        </w:rPr>
      </w:pPr>
      <w:r w:rsidRPr="003C528A">
        <w:rPr>
          <w:rFonts w:cs="Times New Roman"/>
          <w:lang w:val="en-IE"/>
        </w:rPr>
        <w:t xml:space="preserve">Micro-enterprises account for 94.16% of the non-financial economy in the EU, employing almost one-third (29.5%) of the labour force (Eurostat). Based on a recent market analysis, the </w:t>
      </w:r>
      <w:r w:rsidRPr="003C528A">
        <w:rPr>
          <w:rFonts w:cs="Times New Roman"/>
          <w:b/>
          <w:lang w:val="en-IE"/>
        </w:rPr>
        <w:t>total financing gap for microfinance in EU Member States and Iceland is estimated at EUR 12.9 billion [per year]</w:t>
      </w:r>
      <w:r w:rsidRPr="003C528A">
        <w:rPr>
          <w:rFonts w:cs="Times New Roman"/>
          <w:lang w:val="en-IE"/>
        </w:rPr>
        <w:t>.</w:t>
      </w:r>
    </w:p>
    <w:p w14:paraId="0600DE57" w14:textId="77777777" w:rsidR="003A0D24" w:rsidRPr="003C528A" w:rsidRDefault="003A0D24" w:rsidP="003A0D24">
      <w:pPr>
        <w:rPr>
          <w:rFonts w:cs="Times New Roman"/>
          <w:lang w:val="en-IE"/>
        </w:rPr>
      </w:pPr>
      <w:r w:rsidRPr="003C528A">
        <w:rPr>
          <w:rFonts w:cs="Times New Roman"/>
          <w:lang w:val="en-IE"/>
        </w:rPr>
        <w:t xml:space="preserve">Moreover, the gap is expected to widen to between EUR 15.7 billion and EUR 18 billion by 2030 as credit demand from micro-enterprises in the EU is projected to grow at an annual rate </w:t>
      </w:r>
      <w:r w:rsidRPr="003C528A">
        <w:rPr>
          <w:rFonts w:cs="Times New Roman"/>
          <w:lang w:val="en-IE"/>
        </w:rPr>
        <w:lastRenderedPageBreak/>
        <w:t>of 1.5 - 2.5 % over the period 2020 - 2030 (constant prices). For candidate countries, growth rates of credit are expected to be higher, at 3 - 4.5 % per year (constant prices).</w:t>
      </w:r>
      <w:r w:rsidRPr="003C528A">
        <w:rPr>
          <w:rStyle w:val="FootnoteReference"/>
          <w:rFonts w:cs="Times New Roman"/>
          <w:lang w:val="en-IE"/>
        </w:rPr>
        <w:footnoteReference w:id="5"/>
      </w:r>
    </w:p>
    <w:p w14:paraId="6A5E72F7" w14:textId="77777777" w:rsidR="003A0D24" w:rsidRPr="003C528A" w:rsidRDefault="003A0D24" w:rsidP="003A0D24">
      <w:pPr>
        <w:pStyle w:val="ListParagraph"/>
        <w:numPr>
          <w:ilvl w:val="0"/>
          <w:numId w:val="23"/>
        </w:numPr>
        <w:spacing w:after="160" w:line="259" w:lineRule="auto"/>
        <w:rPr>
          <w:rStyle w:val="SubtleEmphasis"/>
          <w:rFonts w:eastAsiaTheme="minorEastAsia"/>
          <w:b/>
          <w:spacing w:val="15"/>
        </w:rPr>
      </w:pPr>
      <w:r w:rsidRPr="003C528A">
        <w:rPr>
          <w:rStyle w:val="SubtleEmphasis"/>
          <w:rFonts w:eastAsiaTheme="minorEastAsia"/>
          <w:b/>
          <w:spacing w:val="15"/>
        </w:rPr>
        <w:t>Social enterprise finance</w:t>
      </w:r>
    </w:p>
    <w:p w14:paraId="446D52E2" w14:textId="77777777" w:rsidR="003A0D24" w:rsidRPr="003C528A" w:rsidRDefault="003A0D24" w:rsidP="003A0D24">
      <w:pPr>
        <w:rPr>
          <w:rFonts w:cs="Times New Roman"/>
          <w:lang w:val="en-IE"/>
        </w:rPr>
      </w:pPr>
      <w:r w:rsidRPr="003C528A">
        <w:rPr>
          <w:rFonts w:cs="Times New Roman"/>
          <w:lang w:val="en-IE"/>
        </w:rPr>
        <w:t xml:space="preserve">The total financing gap for social enterprises across Europe is currently </w:t>
      </w:r>
      <w:r w:rsidRPr="003C528A">
        <w:rPr>
          <w:rFonts w:cs="Times New Roman"/>
          <w:b/>
          <w:lang w:val="en-IE"/>
        </w:rPr>
        <w:t>in the range of EUR 600 million to slightly over EUR 1 billion per year</w:t>
      </w:r>
      <w:r w:rsidRPr="003C528A">
        <w:rPr>
          <w:rFonts w:cs="Times New Roman"/>
          <w:lang w:val="en-IE"/>
        </w:rPr>
        <w:t>, out of which around 60% is for equity and 40% for debt.</w:t>
      </w:r>
      <w:r w:rsidRPr="003C528A">
        <w:rPr>
          <w:rStyle w:val="FootnoteReference"/>
          <w:rFonts w:cs="Times New Roman"/>
        </w:rPr>
        <w:footnoteReference w:id="6"/>
      </w:r>
      <w:r w:rsidRPr="003C528A">
        <w:rPr>
          <w:rFonts w:cs="Times New Roman"/>
          <w:lang w:val="en-IE"/>
        </w:rPr>
        <w:t xml:space="preserve">  </w:t>
      </w:r>
    </w:p>
    <w:p w14:paraId="31118A2F" w14:textId="16BE5B9F" w:rsidR="003A0D24" w:rsidRPr="003C528A" w:rsidRDefault="003A0D24" w:rsidP="003A0D24">
      <w:pPr>
        <w:rPr>
          <w:rFonts w:cs="Times New Roman"/>
          <w:lang w:val="en-IE"/>
        </w:rPr>
      </w:pPr>
      <w:r w:rsidRPr="003C528A">
        <w:rPr>
          <w:rFonts w:cs="Times New Roman"/>
          <w:lang w:val="en-IE"/>
        </w:rPr>
        <w:t xml:space="preserve">While the primary market gap at EU-level is for tickets below EUR 500 000, there is also a gap for tickets above this amount [up to EUR 2 million] to encourage the scaling-up of operations through additional fund-raising. </w:t>
      </w:r>
    </w:p>
    <w:p w14:paraId="56105F73" w14:textId="07973837" w:rsidR="00E77C51" w:rsidRPr="003C528A" w:rsidRDefault="003A0D24" w:rsidP="00DD200F">
      <w:pPr>
        <w:rPr>
          <w:rFonts w:cs="Times New Roman"/>
        </w:rPr>
      </w:pPr>
      <w:r w:rsidRPr="003C528A">
        <w:rPr>
          <w:rFonts w:cs="Times New Roman"/>
          <w:lang w:val="en-IE"/>
        </w:rPr>
        <w:t>Access to finance is a major obstacle for social enterprises. The four main barriers for starting up a social enterprise are: (i) lack of/poor access to/affordability of finance (45%), (ii) cash flow (22%), (iii) lack of appropriate skills/experience (19%) and (iv) lack of awareness of social enterprise among customers (15%).</w:t>
      </w:r>
      <w:r w:rsidRPr="003C528A">
        <w:rPr>
          <w:rStyle w:val="FootnoteReference"/>
          <w:rFonts w:cs="Times New Roman"/>
          <w:lang w:val="en-IE"/>
        </w:rPr>
        <w:footnoteReference w:id="7"/>
      </w:r>
      <w:r w:rsidR="007A41F8" w:rsidRPr="003C528A">
        <w:rPr>
          <w:rFonts w:cs="Times New Roman"/>
        </w:rPr>
        <w:t xml:space="preserve"> </w:t>
      </w:r>
    </w:p>
    <w:p w14:paraId="4E96E934" w14:textId="4D930B04" w:rsidR="00244BDF" w:rsidRPr="003C528A" w:rsidRDefault="009D6B83" w:rsidP="009D6B83">
      <w:pPr>
        <w:pStyle w:val="ListParagraph"/>
        <w:numPr>
          <w:ilvl w:val="0"/>
          <w:numId w:val="23"/>
        </w:numPr>
        <w:spacing w:after="160" w:line="259" w:lineRule="auto"/>
        <w:rPr>
          <w:rFonts w:eastAsiaTheme="minorEastAsia"/>
          <w:b/>
          <w:i/>
          <w:iCs/>
          <w:color w:val="404040" w:themeColor="text1" w:themeTint="BF"/>
          <w:spacing w:val="15"/>
        </w:rPr>
      </w:pPr>
      <w:r w:rsidRPr="003C528A">
        <w:rPr>
          <w:rStyle w:val="SubtleEmphasis"/>
          <w:rFonts w:eastAsiaTheme="minorEastAsia"/>
          <w:b/>
          <w:spacing w:val="15"/>
        </w:rPr>
        <w:t>Social impact and social innovation</w:t>
      </w:r>
    </w:p>
    <w:p w14:paraId="6B7DA407" w14:textId="4BB2925F" w:rsidR="00E77C51" w:rsidRPr="003C528A" w:rsidRDefault="00BD1B4B" w:rsidP="00E77C51">
      <w:pPr>
        <w:rPr>
          <w:rFonts w:cs="Times New Roman"/>
        </w:rPr>
      </w:pPr>
      <w:r w:rsidRPr="00BB3757">
        <w:rPr>
          <w:rFonts w:cs="Times New Roman"/>
          <w:lang w:val="en-IE"/>
        </w:rPr>
        <w:t>In addition, there is a</w:t>
      </w:r>
      <w:r w:rsidR="00E664DC" w:rsidRPr="00BB3757">
        <w:rPr>
          <w:rFonts w:cs="Times New Roman"/>
          <w:lang w:val="en-IE"/>
        </w:rPr>
        <w:t>n interest in experimenting with</w:t>
      </w:r>
      <w:r w:rsidRPr="00BB3757">
        <w:rPr>
          <w:rFonts w:cs="Times New Roman"/>
          <w:lang w:val="en-IE"/>
        </w:rPr>
        <w:t xml:space="preserve"> develop</w:t>
      </w:r>
      <w:r w:rsidR="00E664DC" w:rsidRPr="00BB3757">
        <w:rPr>
          <w:rFonts w:cs="Times New Roman"/>
          <w:lang w:val="en-IE"/>
        </w:rPr>
        <w:t>ing</w:t>
      </w:r>
      <w:r w:rsidRPr="00BB3757">
        <w:rPr>
          <w:rFonts w:cs="Times New Roman"/>
          <w:lang w:val="en-IE"/>
        </w:rPr>
        <w:t xml:space="preserve"> a social impact investment space alongside social enterprises, supporting the scale-up of impact-driven enterprises where the primary focus is on achieving a net financial rate of return alongside a targeted positive social impact.</w:t>
      </w:r>
      <w:bookmarkStart w:id="13" w:name="_GoBack"/>
      <w:bookmarkEnd w:id="13"/>
      <w:r w:rsidR="00E664DC" w:rsidRPr="003C528A">
        <w:rPr>
          <w:rFonts w:cs="Times New Roman"/>
        </w:rPr>
        <w:t xml:space="preserve"> Key to this business model is a rigorous process of defining impact and measuring it.</w:t>
      </w:r>
    </w:p>
    <w:p w14:paraId="29A58AA5" w14:textId="77777777" w:rsidR="009D6B83" w:rsidRPr="003C528A" w:rsidRDefault="009D6B83" w:rsidP="009273DB">
      <w:pPr>
        <w:spacing w:after="160" w:line="259" w:lineRule="auto"/>
        <w:rPr>
          <w:rFonts w:cs="Times New Roman"/>
        </w:rPr>
      </w:pPr>
    </w:p>
    <w:p w14:paraId="2324239B" w14:textId="77777777" w:rsidR="003A0D24" w:rsidRPr="003C528A" w:rsidRDefault="003A0D24" w:rsidP="00E77C51">
      <w:pPr>
        <w:pStyle w:val="Heading2"/>
        <w:spacing w:after="120"/>
        <w:ind w:left="578" w:hanging="578"/>
      </w:pPr>
      <w:bookmarkStart w:id="14" w:name="_Toc24726227"/>
      <w:bookmarkStart w:id="15" w:name="_Toc24732646"/>
      <w:bookmarkStart w:id="16" w:name="_Toc24983377"/>
      <w:bookmarkStart w:id="17" w:name="_Toc19107855"/>
      <w:r w:rsidRPr="003C528A">
        <w:t>Funding needs and types of EU-level financial instruments</w:t>
      </w:r>
      <w:bookmarkEnd w:id="14"/>
      <w:bookmarkEnd w:id="15"/>
      <w:bookmarkEnd w:id="16"/>
    </w:p>
    <w:bookmarkEnd w:id="17"/>
    <w:p w14:paraId="4D3BDA15" w14:textId="1CA62693" w:rsidR="003A0D24" w:rsidRPr="003C528A" w:rsidRDefault="003A0D24" w:rsidP="003A0D24">
      <w:r w:rsidRPr="003C528A">
        <w:t>A complementary range of financial instruments covering intermediated debt, including loan portfolio guarantees, and intermediated equity is required in order to foster systemic developments and comprehensively tackle the EU-wide market failures in the microfinance</w:t>
      </w:r>
      <w:r w:rsidR="007D6995" w:rsidRPr="003C528A">
        <w:t>,</w:t>
      </w:r>
      <w:r w:rsidRPr="003C528A" w:rsidDel="007D6995">
        <w:t xml:space="preserve"> </w:t>
      </w:r>
      <w:r w:rsidRPr="003C528A">
        <w:t xml:space="preserve">social enterprise finance </w:t>
      </w:r>
      <w:r w:rsidR="007D6995" w:rsidRPr="003C528A">
        <w:t xml:space="preserve">and impact investment </w:t>
      </w:r>
      <w:r w:rsidRPr="003C528A">
        <w:t>space:</w:t>
      </w:r>
    </w:p>
    <w:p w14:paraId="34400D1D" w14:textId="5ED74E3D" w:rsidR="003A0D24" w:rsidRPr="003C528A" w:rsidRDefault="003A0D24" w:rsidP="003A0D24">
      <w:pPr>
        <w:pStyle w:val="ListParagraph"/>
        <w:numPr>
          <w:ilvl w:val="0"/>
          <w:numId w:val="24"/>
        </w:numPr>
        <w:spacing w:after="160" w:line="259" w:lineRule="auto"/>
        <w:rPr>
          <w:rStyle w:val="SubtleEmphasis"/>
          <w:rFonts w:eastAsiaTheme="minorEastAsia"/>
          <w:b/>
          <w:spacing w:val="15"/>
        </w:rPr>
      </w:pPr>
      <w:r w:rsidRPr="003C528A">
        <w:rPr>
          <w:rStyle w:val="SubtleEmphasis"/>
          <w:rFonts w:eastAsiaTheme="minorEastAsia"/>
          <w:b/>
          <w:spacing w:val="15"/>
        </w:rPr>
        <w:t>Microfinance</w:t>
      </w:r>
    </w:p>
    <w:p w14:paraId="77E73D3C" w14:textId="77777777" w:rsidR="003A0D24" w:rsidRPr="003C528A" w:rsidRDefault="003A0D24" w:rsidP="003A0D24">
      <w:pPr>
        <w:rPr>
          <w:rFonts w:cs="Times New Roman"/>
          <w:lang w:val="en-IE"/>
        </w:rPr>
      </w:pPr>
      <w:r w:rsidRPr="003C528A">
        <w:rPr>
          <w:rFonts w:cs="Times New Roman"/>
          <w:lang w:val="en-IE"/>
        </w:rPr>
        <w:t xml:space="preserve">Access to funding is crucial for microfinance institutions (MFI) in order to reach financial sustainability and to cater for the needs of vulnerable clients at affordable interest rates. The primary funding needs are </w:t>
      </w:r>
      <w:r w:rsidRPr="003C528A">
        <w:rPr>
          <w:rFonts w:cs="Times New Roman"/>
          <w:b/>
          <w:lang w:val="en-IE"/>
        </w:rPr>
        <w:t>debt financing</w:t>
      </w:r>
      <w:r w:rsidRPr="003C528A">
        <w:rPr>
          <w:rFonts w:cs="Times New Roman"/>
          <w:lang w:val="en-IE"/>
        </w:rPr>
        <w:t xml:space="preserve"> (74% for all MFIs / 65% for non-bank MFIs), followed by </w:t>
      </w:r>
      <w:r w:rsidRPr="003C528A">
        <w:rPr>
          <w:rFonts w:cs="Times New Roman"/>
          <w:b/>
          <w:lang w:val="en-IE"/>
        </w:rPr>
        <w:t>equity</w:t>
      </w:r>
      <w:r w:rsidRPr="003C528A">
        <w:rPr>
          <w:rFonts w:cs="Times New Roman"/>
          <w:lang w:val="en-IE"/>
        </w:rPr>
        <w:t xml:space="preserve"> (10%/10%), </w:t>
      </w:r>
      <w:r w:rsidRPr="003C528A">
        <w:rPr>
          <w:rFonts w:cs="Times New Roman"/>
          <w:b/>
          <w:lang w:val="en-IE"/>
        </w:rPr>
        <w:t>guarantees</w:t>
      </w:r>
      <w:r w:rsidRPr="003C528A">
        <w:rPr>
          <w:rFonts w:cs="Times New Roman"/>
          <w:lang w:val="en-IE"/>
        </w:rPr>
        <w:t xml:space="preserve"> (5%/9%) and </w:t>
      </w:r>
      <w:r w:rsidRPr="003C528A">
        <w:rPr>
          <w:rFonts w:cs="Times New Roman"/>
          <w:b/>
          <w:lang w:val="en-IE"/>
        </w:rPr>
        <w:t>grants</w:t>
      </w:r>
      <w:r w:rsidRPr="003C528A">
        <w:rPr>
          <w:rFonts w:cs="Times New Roman"/>
          <w:lang w:val="en-IE"/>
        </w:rPr>
        <w:t xml:space="preserve"> (3%/5%).</w:t>
      </w:r>
      <w:r w:rsidRPr="003C528A">
        <w:rPr>
          <w:rStyle w:val="FootnoteReference"/>
          <w:rFonts w:cs="Times New Roman"/>
          <w:lang w:val="en-IE"/>
        </w:rPr>
        <w:footnoteReference w:id="8"/>
      </w:r>
    </w:p>
    <w:p w14:paraId="7D25213A" w14:textId="77777777" w:rsidR="003A0D24" w:rsidRPr="003C528A" w:rsidRDefault="003A0D24" w:rsidP="003A0D24">
      <w:pPr>
        <w:rPr>
          <w:rFonts w:cs="Times New Roman"/>
          <w:lang w:val="en-IE"/>
        </w:rPr>
      </w:pPr>
      <w:r w:rsidRPr="003C528A">
        <w:rPr>
          <w:rFonts w:cs="Times New Roman"/>
          <w:lang w:val="en-IE"/>
        </w:rPr>
        <w:lastRenderedPageBreak/>
        <w:t xml:space="preserve">In particular, non-bank microfinance institutions require </w:t>
      </w:r>
      <w:r w:rsidRPr="003C528A">
        <w:rPr>
          <w:rFonts w:cs="Times New Roman"/>
          <w:b/>
          <w:lang w:val="en-IE"/>
        </w:rPr>
        <w:t>debt financing</w:t>
      </w:r>
      <w:r w:rsidRPr="003C528A">
        <w:rPr>
          <w:rFonts w:cs="Times New Roman"/>
          <w:lang w:val="en-IE"/>
        </w:rPr>
        <w:t xml:space="preserve"> in order to bridge their liquidity needs, subsequently boosting their capacity to on-lend to micro-borrowers. Given the absence of deposits, non-bank financial intermediaries typically need to boost their loan capital via external debt finance in order to reach scale.</w:t>
      </w:r>
    </w:p>
    <w:p w14:paraId="1478A6C8" w14:textId="049AD0CC" w:rsidR="003A0D24" w:rsidRPr="003C528A" w:rsidRDefault="003A0D24" w:rsidP="003A0D24">
      <w:pPr>
        <w:rPr>
          <w:rFonts w:cs="Times New Roman"/>
          <w:lang w:val="en-IE"/>
        </w:rPr>
      </w:pPr>
      <w:r w:rsidRPr="003C528A">
        <w:rPr>
          <w:rFonts w:cs="Times New Roman"/>
          <w:b/>
          <w:lang w:val="en-IE"/>
        </w:rPr>
        <w:t>Portfolio loan guarantees</w:t>
      </w:r>
      <w:r w:rsidRPr="003C528A">
        <w:rPr>
          <w:rFonts w:cs="Times New Roman"/>
          <w:lang w:val="en-IE"/>
        </w:rPr>
        <w:t xml:space="preserve"> can help cover the credit risk of their loan portfolios, notably to reach out to the most vulnerable target groups</w:t>
      </w:r>
      <w:r w:rsidR="003A2466" w:rsidRPr="003C528A">
        <w:rPr>
          <w:rFonts w:cs="Times New Roman"/>
          <w:lang w:val="en-IE"/>
        </w:rPr>
        <w:t xml:space="preserve">, including </w:t>
      </w:r>
      <w:r w:rsidR="00DD200F" w:rsidRPr="003C528A">
        <w:rPr>
          <w:rFonts w:cs="Times New Roman"/>
          <w:lang w:val="en-IE"/>
        </w:rPr>
        <w:t xml:space="preserve">young people, </w:t>
      </w:r>
      <w:r w:rsidR="003A2466" w:rsidRPr="003C528A">
        <w:rPr>
          <w:rFonts w:cs="Times New Roman"/>
          <w:lang w:val="en-IE"/>
        </w:rPr>
        <w:t>migrants and female entrepreneurs</w:t>
      </w:r>
      <w:r w:rsidRPr="003C528A">
        <w:rPr>
          <w:rFonts w:cs="Times New Roman"/>
          <w:lang w:val="en-IE"/>
        </w:rPr>
        <w:t>. Bank and non-bank microfinance institutions require direct guarantees, whereas counter-guarantees are suitable for guarantee institutions. The focus on risk-sharing without a funding element renders the direct guarantees particularly useful for microfinance institutions with a strong social focus, but it is also suitable for more upmarket microfinance institutions that seek to contain the level of risk involved in enlarging their portfolios.</w:t>
      </w:r>
    </w:p>
    <w:p w14:paraId="73A3121B" w14:textId="77777777" w:rsidR="003A0D24" w:rsidRPr="003C528A" w:rsidRDefault="003A0D24" w:rsidP="003A0D24">
      <w:pPr>
        <w:rPr>
          <w:rFonts w:cs="Times New Roman"/>
          <w:lang w:val="en-IE"/>
        </w:rPr>
      </w:pPr>
      <w:r w:rsidRPr="003C528A">
        <w:rPr>
          <w:rFonts w:cs="Times New Roman"/>
          <w:lang w:val="en-IE"/>
        </w:rPr>
        <w:t xml:space="preserve">Alongside debt funding and guarantees, MFIs are expected to increasingly demand also other types of funding, such as </w:t>
      </w:r>
      <w:r w:rsidRPr="003C528A">
        <w:rPr>
          <w:rFonts w:cs="Times New Roman"/>
          <w:b/>
          <w:lang w:val="en-IE"/>
        </w:rPr>
        <w:t>mezzanine finance and equity</w:t>
      </w:r>
      <w:r w:rsidRPr="003C528A">
        <w:rPr>
          <w:rFonts w:cs="Times New Roman"/>
          <w:lang w:val="en-IE"/>
        </w:rPr>
        <w:t>. Larger MFIs will also need support to enable bond issuance as an alternative means for funding.</w:t>
      </w:r>
    </w:p>
    <w:p w14:paraId="042EE3D9" w14:textId="10B99EF8" w:rsidR="00880C24" w:rsidRPr="003C528A" w:rsidRDefault="003A0D24" w:rsidP="003A0D24">
      <w:pPr>
        <w:rPr>
          <w:rFonts w:cs="Times New Roman"/>
          <w:szCs w:val="24"/>
        </w:rPr>
      </w:pPr>
      <w:r w:rsidRPr="003C528A">
        <w:rPr>
          <w:rFonts w:cs="Times New Roman"/>
          <w:lang w:val="en-IE"/>
        </w:rPr>
        <w:t>In parallel to the increasing financing needs, the outlook for market funding for MFIs for the period 2021-2027 may prove to be challenging. Stricter regulation (e.g. Basel III) and potentially higher interest rates, compared with the current historically low rates, risk leading to higher funding costs for MFIs</w:t>
      </w:r>
      <w:r w:rsidR="00880C24" w:rsidRPr="003C528A">
        <w:rPr>
          <w:rFonts w:cs="Times New Roman"/>
          <w:szCs w:val="24"/>
        </w:rPr>
        <w:t xml:space="preserve">. </w:t>
      </w:r>
    </w:p>
    <w:p w14:paraId="79E3637F" w14:textId="2D2283A2" w:rsidR="003A0D24" w:rsidRPr="003C528A" w:rsidRDefault="003A0D24" w:rsidP="003A0D24">
      <w:pPr>
        <w:pStyle w:val="ListParagraph"/>
        <w:numPr>
          <w:ilvl w:val="0"/>
          <w:numId w:val="24"/>
        </w:numPr>
        <w:spacing w:after="160" w:line="259" w:lineRule="auto"/>
        <w:rPr>
          <w:rStyle w:val="SubtleEmphasis"/>
          <w:rFonts w:eastAsiaTheme="minorEastAsia"/>
          <w:b/>
          <w:spacing w:val="15"/>
        </w:rPr>
      </w:pPr>
      <w:r w:rsidRPr="003C528A">
        <w:rPr>
          <w:rStyle w:val="SubtleEmphasis"/>
          <w:rFonts w:eastAsiaTheme="minorEastAsia"/>
          <w:b/>
          <w:spacing w:val="15"/>
        </w:rPr>
        <w:t>Social enterprise finance</w:t>
      </w:r>
      <w:r w:rsidR="00067049" w:rsidRPr="003C528A">
        <w:rPr>
          <w:rStyle w:val="SubtleEmphasis"/>
          <w:rFonts w:eastAsiaTheme="minorEastAsia"/>
          <w:b/>
          <w:spacing w:val="15"/>
        </w:rPr>
        <w:t xml:space="preserve"> </w:t>
      </w:r>
    </w:p>
    <w:p w14:paraId="19EA414A" w14:textId="77777777" w:rsidR="003A0D24" w:rsidRPr="003C528A" w:rsidRDefault="003A0D24" w:rsidP="003A0D24">
      <w:pPr>
        <w:rPr>
          <w:rFonts w:cs="Times New Roman"/>
          <w:b/>
          <w:lang w:val="en-IE"/>
        </w:rPr>
      </w:pPr>
      <w:r w:rsidRPr="003C528A">
        <w:rPr>
          <w:rFonts w:cs="Times New Roman"/>
          <w:b/>
          <w:lang w:val="en-IE"/>
        </w:rPr>
        <w:t>Portfolio loan guarantees</w:t>
      </w:r>
      <w:r w:rsidRPr="003C528A">
        <w:rPr>
          <w:rFonts w:cs="Times New Roman"/>
          <w:lang w:val="en-IE"/>
        </w:rPr>
        <w:t xml:space="preserve"> are aimed at institutions providing debt financing to social enterprises. These institutions are mainly banks and potentially, foundations. Bank loans are already in place for non-profit organisations, which use them to finance infrastructure or other long-term investments. However, social enterprises are active in fields where the business model is based on less stable revenue streams, with fewer assets that they can use as collateral. As the financing decision and the interest rate are influenced by the default rate of the social enterprise, the provision of an EU guarantee could improve the European financing landscape for social enterprises.</w:t>
      </w:r>
    </w:p>
    <w:p w14:paraId="4AD778D1" w14:textId="77777777" w:rsidR="003A0D24" w:rsidRPr="003C528A" w:rsidRDefault="003A0D24" w:rsidP="003A0D24">
      <w:pPr>
        <w:rPr>
          <w:rFonts w:cs="Times New Roman"/>
          <w:lang w:val="en-IE"/>
        </w:rPr>
      </w:pPr>
      <w:r w:rsidRPr="003C528A">
        <w:rPr>
          <w:rFonts w:cs="Times New Roman"/>
          <w:lang w:val="en-IE"/>
        </w:rPr>
        <w:t xml:space="preserve">While </w:t>
      </w:r>
      <w:r w:rsidRPr="003C528A">
        <w:rPr>
          <w:rFonts w:cs="Times New Roman"/>
          <w:b/>
          <w:lang w:val="en-IE"/>
        </w:rPr>
        <w:t>debt financing</w:t>
      </w:r>
      <w:r w:rsidRPr="003C528A">
        <w:rPr>
          <w:rFonts w:cs="Times New Roman"/>
          <w:lang w:val="en-IE"/>
        </w:rPr>
        <w:t xml:space="preserve"> is a more widely used instrument for the financing of more established social enterprises, there is still a </w:t>
      </w:r>
      <w:r w:rsidRPr="003C528A">
        <w:rPr>
          <w:rFonts w:cs="Times New Roman"/>
          <w:b/>
          <w:lang w:val="en-IE"/>
        </w:rPr>
        <w:t>missing secondary market for equity investments</w:t>
      </w:r>
      <w:r w:rsidRPr="003C528A">
        <w:rPr>
          <w:rFonts w:cs="Times New Roman"/>
          <w:lang w:val="en-IE"/>
        </w:rPr>
        <w:t xml:space="preserve"> which are needed to finance early-stage social enterprises.</w:t>
      </w:r>
    </w:p>
    <w:p w14:paraId="4742C7F6" w14:textId="77777777" w:rsidR="003A0D24" w:rsidRPr="003C528A" w:rsidRDefault="003A0D24" w:rsidP="003A0D24">
      <w:pPr>
        <w:rPr>
          <w:rFonts w:cs="Times New Roman"/>
          <w:lang w:val="en-IE"/>
        </w:rPr>
      </w:pPr>
      <w:r w:rsidRPr="003C528A">
        <w:rPr>
          <w:rFonts w:cs="Times New Roman"/>
          <w:lang w:val="en-IE"/>
        </w:rPr>
        <w:t xml:space="preserve">Debt financing can be considered as an impediment to growth since it requires a social enterprise to be able to generate predictable cash flows to cover the interest rates and to repay the principal, thereby dampening the degree of innovativeness and risk-appetite of social enterprises. </w:t>
      </w:r>
    </w:p>
    <w:p w14:paraId="67FE00A1" w14:textId="2020BA77" w:rsidR="003A0D24" w:rsidRPr="003C528A" w:rsidRDefault="00A019C4" w:rsidP="003A0D24">
      <w:pPr>
        <w:rPr>
          <w:rFonts w:cs="Times New Roman"/>
          <w:lang w:val="en-IE"/>
        </w:rPr>
      </w:pPr>
      <w:r w:rsidRPr="003C528A">
        <w:rPr>
          <w:rFonts w:cs="Times New Roman"/>
          <w:lang w:val="en-IE"/>
        </w:rPr>
        <w:t>Insufficient a</w:t>
      </w:r>
      <w:r w:rsidR="003A0D24" w:rsidRPr="003C528A">
        <w:rPr>
          <w:rFonts w:cs="Times New Roman"/>
          <w:lang w:val="en-IE"/>
        </w:rPr>
        <w:t xml:space="preserve">ccess to </w:t>
      </w:r>
      <w:r w:rsidR="003A0D24" w:rsidRPr="003C528A">
        <w:rPr>
          <w:rFonts w:cs="Times New Roman"/>
          <w:b/>
          <w:lang w:val="en-IE"/>
        </w:rPr>
        <w:t>risk capital (or equity) financing</w:t>
      </w:r>
      <w:r w:rsidR="003A0D24" w:rsidRPr="003C528A">
        <w:rPr>
          <w:rFonts w:cs="Times New Roman"/>
          <w:lang w:val="en-IE"/>
        </w:rPr>
        <w:t xml:space="preserve"> for social enterprises remains one of the main obstacles for their growth, in particular for small ticket sizes at their pre-seed, seed, start-up and early stage of development. There is an upward pressure on social venture capital </w:t>
      </w:r>
      <w:r w:rsidR="003A0D24" w:rsidRPr="003C528A">
        <w:rPr>
          <w:rFonts w:cs="Times New Roman"/>
          <w:lang w:val="en-IE"/>
        </w:rPr>
        <w:lastRenderedPageBreak/>
        <w:t>fund sizes</w:t>
      </w:r>
      <w:r w:rsidRPr="003C528A">
        <w:rPr>
          <w:rFonts w:cs="Times New Roman"/>
          <w:lang w:val="en-IE"/>
        </w:rPr>
        <w:t>,</w:t>
      </w:r>
      <w:r w:rsidR="003A0D24" w:rsidRPr="003C528A">
        <w:rPr>
          <w:rFonts w:cs="Times New Roman"/>
          <w:lang w:val="en-IE"/>
        </w:rPr>
        <w:t xml:space="preserve"> which need to reach about EUR 50 million in order to generate enough fees to cover their operating expenses</w:t>
      </w:r>
      <w:r w:rsidR="003A0D24" w:rsidRPr="003C528A">
        <w:rPr>
          <w:rStyle w:val="FootnoteReference"/>
          <w:rFonts w:cs="Times New Roman"/>
          <w:lang w:val="en-IE"/>
        </w:rPr>
        <w:footnoteReference w:id="9"/>
      </w:r>
      <w:r w:rsidR="003A0D24" w:rsidRPr="003C528A">
        <w:rPr>
          <w:rFonts w:cs="Times New Roman"/>
          <w:lang w:val="en-IE"/>
        </w:rPr>
        <w:t>.</w:t>
      </w:r>
    </w:p>
    <w:p w14:paraId="26A9B9C9" w14:textId="295EC1CD" w:rsidR="003A0D24" w:rsidRPr="003C528A" w:rsidRDefault="003A0D24" w:rsidP="003A0D24">
      <w:pPr>
        <w:rPr>
          <w:rFonts w:cs="Times New Roman"/>
          <w:lang w:val="en-IE"/>
        </w:rPr>
      </w:pPr>
      <w:r w:rsidRPr="003C528A">
        <w:rPr>
          <w:rFonts w:cs="Times New Roman"/>
          <w:lang w:val="en-IE"/>
        </w:rPr>
        <w:t xml:space="preserve">Due to the proportionately high transaction costs needed to analyse and manage many small investments, such funds rarely cover financing needs below [EUR 500 000]. Therefore, the objective of providing risk capital financing is to strengthen the nascent market for social investments. In particular, to support the start-up and scale-up of social enterprises through small ticket investments of below [EUR 500 000]. Concurrently, in the case of microfinance and social enterprise finance, there is also a strong market need for </w:t>
      </w:r>
      <w:r w:rsidRPr="003C528A">
        <w:rPr>
          <w:rFonts w:cs="Times New Roman"/>
          <w:b/>
          <w:lang w:val="en-IE"/>
        </w:rPr>
        <w:t>patient capital i.e. long-term equity and quasi-equity investments</w:t>
      </w:r>
      <w:r w:rsidRPr="003C528A">
        <w:rPr>
          <w:rFonts w:cs="Times New Roman"/>
          <w:lang w:val="en-IE"/>
        </w:rPr>
        <w:t xml:space="preserve"> to strengthen the </w:t>
      </w:r>
      <w:r w:rsidR="00BD1B4B" w:rsidRPr="003C528A">
        <w:rPr>
          <w:rFonts w:cs="Times New Roman"/>
          <w:lang w:val="en-IE"/>
        </w:rPr>
        <w:t>capacity</w:t>
      </w:r>
      <w:r w:rsidRPr="003C528A">
        <w:rPr>
          <w:rFonts w:cs="Times New Roman"/>
          <w:lang w:val="en-IE"/>
        </w:rPr>
        <w:t xml:space="preserve"> of financial intermediaries in order to attract additional private capital and develop their institutional capacity, which in turn supports their future lending activities. In terms of value added, these equity or quasi-equity investments allow for co-investments with other long-term investors as well as a high level of risk tolerance in terms of counter-party risk. </w:t>
      </w:r>
    </w:p>
    <w:p w14:paraId="635EE805" w14:textId="426D1144" w:rsidR="00BD1B4B" w:rsidRPr="003C528A" w:rsidRDefault="00BD1B4B" w:rsidP="00BB3757">
      <w:pPr>
        <w:pStyle w:val="ListParagraph"/>
        <w:numPr>
          <w:ilvl w:val="0"/>
          <w:numId w:val="24"/>
        </w:numPr>
        <w:spacing w:after="160" w:line="259" w:lineRule="auto"/>
        <w:rPr>
          <w:rFonts w:cs="Times New Roman"/>
          <w:lang w:val="en-IE"/>
        </w:rPr>
      </w:pPr>
      <w:r w:rsidRPr="003C528A">
        <w:rPr>
          <w:rStyle w:val="SubtleEmphasis"/>
          <w:rFonts w:eastAsiaTheme="minorEastAsia"/>
          <w:b/>
          <w:spacing w:val="15"/>
        </w:rPr>
        <w:t xml:space="preserve">Social impact and social innovation </w:t>
      </w:r>
    </w:p>
    <w:p w14:paraId="087ABD6D" w14:textId="13E79236" w:rsidR="00BD1B4B" w:rsidRPr="003C528A" w:rsidRDefault="00BD1B4B" w:rsidP="00866670">
      <w:pPr>
        <w:rPr>
          <w:rFonts w:cs="Times New Roman"/>
          <w:lang w:val="en-IE"/>
        </w:rPr>
      </w:pPr>
      <w:r w:rsidRPr="00BB3757">
        <w:rPr>
          <w:rFonts w:cs="Times New Roman"/>
          <w:lang w:val="en-IE"/>
        </w:rPr>
        <w:t xml:space="preserve">Support for </w:t>
      </w:r>
      <w:r w:rsidRPr="003C528A">
        <w:rPr>
          <w:rFonts w:cs="Times New Roman"/>
          <w:lang w:val="en-IE"/>
        </w:rPr>
        <w:t xml:space="preserve">access to </w:t>
      </w:r>
      <w:r w:rsidRPr="003C528A">
        <w:rPr>
          <w:rFonts w:cs="Times New Roman"/>
          <w:b/>
          <w:lang w:val="en-IE"/>
        </w:rPr>
        <w:t>risk capital (or equity) financing</w:t>
      </w:r>
      <w:r w:rsidRPr="003C528A">
        <w:rPr>
          <w:rFonts w:cs="Times New Roman"/>
          <w:lang w:val="en-IE"/>
        </w:rPr>
        <w:t xml:space="preserve"> </w:t>
      </w:r>
      <w:r w:rsidRPr="00BB3757">
        <w:rPr>
          <w:rFonts w:cs="Times New Roman"/>
          <w:lang w:val="en-IE"/>
        </w:rPr>
        <w:t xml:space="preserve">is </w:t>
      </w:r>
      <w:r w:rsidRPr="003C528A">
        <w:rPr>
          <w:rFonts w:cs="Times New Roman"/>
          <w:lang w:val="en-IE"/>
        </w:rPr>
        <w:t xml:space="preserve">also </w:t>
      </w:r>
      <w:r w:rsidRPr="00BB3757">
        <w:rPr>
          <w:rFonts w:cs="Times New Roman"/>
          <w:lang w:val="en-IE"/>
        </w:rPr>
        <w:t xml:space="preserve">key for the growth of impact driven businesses, as </w:t>
      </w:r>
      <w:r w:rsidRPr="003C528A">
        <w:rPr>
          <w:rFonts w:cs="Times New Roman"/>
          <w:lang w:val="en-IE"/>
        </w:rPr>
        <w:t xml:space="preserve">. </w:t>
      </w:r>
    </w:p>
    <w:p w14:paraId="47C0DB90" w14:textId="317473AC" w:rsidR="00866670" w:rsidRPr="003C528A" w:rsidRDefault="00BD1B4B" w:rsidP="00866670">
      <w:pPr>
        <w:rPr>
          <w:rFonts w:cs="Times New Roman"/>
        </w:rPr>
      </w:pPr>
      <w:r w:rsidRPr="003C528A">
        <w:rPr>
          <w:rFonts w:cs="Times New Roman"/>
        </w:rPr>
        <w:t>i</w:t>
      </w:r>
      <w:r w:rsidR="00866670" w:rsidRPr="003C528A">
        <w:rPr>
          <w:rFonts w:cs="Times New Roman"/>
        </w:rPr>
        <w:t>mpact focus in a company’s business model is still widely perceived as being return compromising</w:t>
      </w:r>
      <w:r w:rsidRPr="003C528A">
        <w:rPr>
          <w:rFonts w:cs="Times New Roman"/>
        </w:rPr>
        <w:t xml:space="preserve"> by traditional VC funds.</w:t>
      </w:r>
    </w:p>
    <w:p w14:paraId="5DBEE07B" w14:textId="77777777" w:rsidR="00A019C4" w:rsidRPr="003C528A" w:rsidRDefault="00A019C4" w:rsidP="00866670">
      <w:pPr>
        <w:rPr>
          <w:rFonts w:cs="Times New Roman"/>
          <w:lang w:val="en-IE"/>
        </w:rPr>
      </w:pPr>
    </w:p>
    <w:p w14:paraId="40AE0B61" w14:textId="77777777" w:rsidR="00A019C4" w:rsidRPr="003C528A" w:rsidRDefault="00A019C4">
      <w:pPr>
        <w:jc w:val="left"/>
        <w:rPr>
          <w:rFonts w:cs="Times New Roman"/>
          <w:lang w:val="en-IE"/>
        </w:rPr>
      </w:pPr>
      <w:r w:rsidRPr="003C528A">
        <w:rPr>
          <w:rFonts w:cs="Times New Roman"/>
          <w:lang w:val="en-IE"/>
        </w:rPr>
        <w:br w:type="page"/>
      </w:r>
    </w:p>
    <w:p w14:paraId="0721D2F1" w14:textId="7EB6AA3E" w:rsidR="00A019C4" w:rsidRPr="003C528A" w:rsidRDefault="00A019C4" w:rsidP="00866670">
      <w:pPr>
        <w:rPr>
          <w:rFonts w:cs="Times New Roman"/>
          <w:lang w:val="en-IE"/>
        </w:rPr>
      </w:pPr>
    </w:p>
    <w:p w14:paraId="474E577D" w14:textId="7088850E" w:rsidR="00A445E1" w:rsidRPr="003C528A" w:rsidRDefault="00866670" w:rsidP="00411CD3">
      <w:pPr>
        <w:pStyle w:val="Heading1"/>
        <w:spacing w:after="120"/>
        <w:ind w:left="431" w:hanging="431"/>
      </w:pPr>
      <w:r w:rsidRPr="003C528A" w:rsidDel="0037672B">
        <w:rPr>
          <w:rFonts w:cs="Times New Roman"/>
          <w:lang w:val="en-IE"/>
        </w:rPr>
        <w:t xml:space="preserve"> </w:t>
      </w:r>
      <w:bookmarkStart w:id="18" w:name="_Toc24731822"/>
      <w:bookmarkStart w:id="19" w:name="_Toc24732647"/>
      <w:bookmarkStart w:id="20" w:name="_Toc24731823"/>
      <w:bookmarkStart w:id="21" w:name="_Toc24732648"/>
      <w:bookmarkStart w:id="22" w:name="_Toc24731824"/>
      <w:bookmarkStart w:id="23" w:name="_Toc24732649"/>
      <w:bookmarkStart w:id="24" w:name="_Toc24631017"/>
      <w:bookmarkStart w:id="25" w:name="_Toc24641327"/>
      <w:bookmarkStart w:id="26" w:name="_Toc24731825"/>
      <w:bookmarkStart w:id="27" w:name="_Toc24732650"/>
      <w:bookmarkStart w:id="28" w:name="_Toc24726228"/>
      <w:bookmarkStart w:id="29" w:name="_Toc24732651"/>
      <w:bookmarkStart w:id="30" w:name="_Toc24983378"/>
      <w:bookmarkEnd w:id="18"/>
      <w:bookmarkEnd w:id="19"/>
      <w:bookmarkEnd w:id="20"/>
      <w:bookmarkEnd w:id="21"/>
      <w:bookmarkEnd w:id="22"/>
      <w:bookmarkEnd w:id="23"/>
      <w:bookmarkEnd w:id="24"/>
      <w:bookmarkEnd w:id="25"/>
      <w:bookmarkEnd w:id="26"/>
      <w:bookmarkEnd w:id="27"/>
      <w:r w:rsidR="00A445E1" w:rsidRPr="003C528A">
        <w:t xml:space="preserve">InvestEU for </w:t>
      </w:r>
      <w:r w:rsidR="0029176E" w:rsidRPr="003C528A">
        <w:t>Education, training and skills</w:t>
      </w:r>
      <w:bookmarkEnd w:id="28"/>
      <w:bookmarkEnd w:id="29"/>
      <w:bookmarkEnd w:id="30"/>
    </w:p>
    <w:p w14:paraId="237F36EB" w14:textId="6E8CE6EA" w:rsidR="00411896" w:rsidRPr="003C528A" w:rsidRDefault="009F5A43" w:rsidP="009F5A43">
      <w:pPr>
        <w:pStyle w:val="Heading2"/>
        <w:spacing w:after="120"/>
        <w:ind w:left="578" w:hanging="578"/>
      </w:pPr>
      <w:bookmarkStart w:id="31" w:name="_Toc24726229"/>
      <w:bookmarkStart w:id="32" w:name="_Toc24732652"/>
      <w:bookmarkStart w:id="33" w:name="_Toc24983379"/>
      <w:r w:rsidRPr="003C528A">
        <w:t>Rationale for supporting investment in education, training and related services</w:t>
      </w:r>
      <w:bookmarkEnd w:id="31"/>
      <w:bookmarkEnd w:id="32"/>
      <w:bookmarkEnd w:id="33"/>
      <w:r w:rsidRPr="003C528A">
        <w:t xml:space="preserve"> </w:t>
      </w:r>
    </w:p>
    <w:p w14:paraId="06DA694B" w14:textId="52B8E458" w:rsidR="00DE4B2A" w:rsidRPr="001054BB" w:rsidRDefault="00DE4B2A" w:rsidP="00DE4B2A">
      <w:pPr>
        <w:rPr>
          <w:rFonts w:cs="Times New Roman"/>
        </w:rPr>
      </w:pPr>
      <w:r w:rsidRPr="001054BB">
        <w:rPr>
          <w:rFonts w:cs="Times New Roman"/>
        </w:rPr>
        <w:t xml:space="preserve">Education and training </w:t>
      </w:r>
      <w:r>
        <w:rPr>
          <w:rFonts w:cs="Times New Roman"/>
        </w:rPr>
        <w:t>are</w:t>
      </w:r>
      <w:r w:rsidRPr="001054BB">
        <w:rPr>
          <w:rFonts w:cs="Times New Roman"/>
        </w:rPr>
        <w:t xml:space="preserve"> part of the solution to get more people into jobs and respond better to the economy's needs for skills. Investments in skills contribute to growth, competitiveness and social convergence, while strengthening Europe's resilience in a context of rapid and profound changes, including digital transformation and the transition to a carbon-neutral economy.</w:t>
      </w:r>
    </w:p>
    <w:p w14:paraId="2B2E0B09" w14:textId="77777777" w:rsidR="00DE4B2A" w:rsidRDefault="00DE4B2A" w:rsidP="00DE4B2A">
      <w:pPr>
        <w:rPr>
          <w:rFonts w:cs="Times New Roman"/>
        </w:rPr>
      </w:pPr>
      <w:r w:rsidRPr="001054BB">
        <w:rPr>
          <w:rFonts w:cs="Times New Roman"/>
        </w:rPr>
        <w:t>General education equips citizens with general skills and competences that transcend the limits of specific occupations. Job-specific skills, on the other hand, address the particular needs of the workplace. Taken as a whole, both general education and job-specific skills are equally important and act in a complementary way across the entire working life and beyond.</w:t>
      </w:r>
    </w:p>
    <w:p w14:paraId="4DC3016F" w14:textId="1528E488" w:rsidR="00DD200F" w:rsidRPr="003C528A" w:rsidRDefault="00DD200F" w:rsidP="00DD200F">
      <w:pPr>
        <w:rPr>
          <w:rFonts w:cs="Times New Roman"/>
        </w:rPr>
      </w:pPr>
    </w:p>
    <w:p w14:paraId="5A5A5722" w14:textId="77777777" w:rsidR="00DE4B2A" w:rsidRPr="009F5A43" w:rsidRDefault="00DE4B2A" w:rsidP="00DE4B2A">
      <w:pPr>
        <w:rPr>
          <w:rFonts w:cs="Times New Roman"/>
        </w:rPr>
      </w:pPr>
      <w:r>
        <w:rPr>
          <w:rFonts w:cs="Times New Roman"/>
        </w:rPr>
        <w:t>Investments in both strands are particularly important for vulnerable groups such as migrants who often face a high level of educational failures and drop up rates</w:t>
      </w:r>
      <w:r w:rsidRPr="008D14FB">
        <w:rPr>
          <w:rFonts w:cs="Times New Roman"/>
        </w:rPr>
        <w:t xml:space="preserve"> This has substantial social impacts</w:t>
      </w:r>
      <w:r>
        <w:rPr>
          <w:rFonts w:cs="Times New Roman"/>
        </w:rPr>
        <w:t>,</w:t>
      </w:r>
      <w:r w:rsidRPr="008D14FB">
        <w:rPr>
          <w:rFonts w:cs="Times New Roman"/>
        </w:rPr>
        <w:t xml:space="preserve"> </w:t>
      </w:r>
      <w:r>
        <w:rPr>
          <w:rFonts w:cs="Times New Roman"/>
        </w:rPr>
        <w:t>given that</w:t>
      </w:r>
      <w:r w:rsidRPr="008D14FB">
        <w:rPr>
          <w:rFonts w:cs="Times New Roman"/>
        </w:rPr>
        <w:t xml:space="preserve"> in the EU in 201</w:t>
      </w:r>
      <w:r>
        <w:rPr>
          <w:rFonts w:cs="Times New Roman"/>
        </w:rPr>
        <w:t>8</w:t>
      </w:r>
      <w:r w:rsidRPr="008D14FB">
        <w:rPr>
          <w:rFonts w:cs="Times New Roman"/>
        </w:rPr>
        <w:t xml:space="preserve"> almost </w:t>
      </w:r>
      <w:r>
        <w:rPr>
          <w:rFonts w:cs="Times New Roman"/>
        </w:rPr>
        <w:t>31</w:t>
      </w:r>
      <w:r w:rsidRPr="008D14FB">
        <w:rPr>
          <w:rFonts w:cs="Times New Roman"/>
        </w:rPr>
        <w:t xml:space="preserve">% of the non-EU born were at risk of poverty or social exclusion, compared to about </w:t>
      </w:r>
      <w:r>
        <w:rPr>
          <w:rFonts w:cs="Times New Roman"/>
        </w:rPr>
        <w:t>15</w:t>
      </w:r>
      <w:r w:rsidRPr="008D14FB">
        <w:rPr>
          <w:rFonts w:cs="Times New Roman"/>
        </w:rPr>
        <w:t xml:space="preserve">% of the </w:t>
      </w:r>
      <w:r>
        <w:rPr>
          <w:rFonts w:cs="Times New Roman"/>
        </w:rPr>
        <w:t>EU-bo</w:t>
      </w:r>
      <w:r w:rsidRPr="008D14FB">
        <w:rPr>
          <w:rFonts w:cs="Times New Roman"/>
        </w:rPr>
        <w:t xml:space="preserve">rn. </w:t>
      </w:r>
      <w:r>
        <w:rPr>
          <w:rFonts w:cs="Times New Roman"/>
        </w:rPr>
        <w:t xml:space="preserve">Language trainings, building upgrade skills, bridging courses and specific professional orientation courses could have an important impact in building communities that are more inclusive.  </w:t>
      </w:r>
    </w:p>
    <w:p w14:paraId="7CA4725C" w14:textId="77777777" w:rsidR="00DE4B2A" w:rsidRDefault="00DE4B2A" w:rsidP="00DE4B2A">
      <w:pPr>
        <w:rPr>
          <w:rFonts w:cs="Times New Roman"/>
        </w:rPr>
      </w:pPr>
      <w:r w:rsidRPr="001054BB">
        <w:rPr>
          <w:rFonts w:cs="Times New Roman"/>
        </w:rPr>
        <w:t>The economic and social benefits of skills and learning can be grouped into three categories</w:t>
      </w:r>
      <w:r w:rsidRPr="009F5A43">
        <w:rPr>
          <w:rStyle w:val="FootnoteReference"/>
          <w:rFonts w:cs="Times New Roman"/>
        </w:rPr>
        <w:footnoteReference w:id="10"/>
      </w:r>
      <w:r w:rsidRPr="009F5A43">
        <w:rPr>
          <w:rFonts w:cs="Times New Roman"/>
        </w:rPr>
        <w:t>:</w:t>
      </w:r>
    </w:p>
    <w:p w14:paraId="09B7C91C" w14:textId="72143D39" w:rsidR="009F5A43" w:rsidRPr="003C528A" w:rsidRDefault="009F5A43" w:rsidP="009F5A43">
      <w:pPr>
        <w:rPr>
          <w:rFonts w:cs="Times New Roman"/>
        </w:rPr>
      </w:pPr>
    </w:p>
    <w:p w14:paraId="6AAAFB6E" w14:textId="77777777" w:rsidR="009F5A43" w:rsidRPr="003C528A" w:rsidRDefault="009F5A43" w:rsidP="009F5A43">
      <w:pPr>
        <w:pStyle w:val="ListParagraph"/>
        <w:numPr>
          <w:ilvl w:val="0"/>
          <w:numId w:val="27"/>
        </w:numPr>
        <w:spacing w:after="120"/>
        <w:ind w:left="1077" w:hanging="357"/>
        <w:rPr>
          <w:rFonts w:cs="Times New Roman"/>
        </w:rPr>
      </w:pPr>
      <w:r w:rsidRPr="003C528A">
        <w:rPr>
          <w:rFonts w:cs="Times New Roman"/>
        </w:rPr>
        <w:t>For learners:</w:t>
      </w:r>
    </w:p>
    <w:p w14:paraId="12B9FEB9" w14:textId="77777777" w:rsidR="009F5A43" w:rsidRPr="003C528A" w:rsidRDefault="009F5A43" w:rsidP="009F5A43">
      <w:pPr>
        <w:pStyle w:val="ListParagraph"/>
        <w:numPr>
          <w:ilvl w:val="0"/>
          <w:numId w:val="28"/>
        </w:numPr>
        <w:spacing w:after="120"/>
        <w:rPr>
          <w:rFonts w:cs="Times New Roman"/>
          <w:i/>
        </w:rPr>
      </w:pPr>
      <w:r w:rsidRPr="003C528A">
        <w:rPr>
          <w:rFonts w:cs="Times New Roman"/>
        </w:rPr>
        <w:t>Economic:</w:t>
      </w:r>
      <w:r w:rsidRPr="003C528A">
        <w:rPr>
          <w:rFonts w:cs="Times New Roman"/>
          <w:i/>
        </w:rPr>
        <w:t xml:space="preserve"> </w:t>
      </w:r>
      <w:r w:rsidRPr="003C528A">
        <w:rPr>
          <w:rFonts w:cs="Times New Roman"/>
        </w:rPr>
        <w:t xml:space="preserve">Increased wages and income as well as improved employability; </w:t>
      </w:r>
    </w:p>
    <w:p w14:paraId="046DAE44" w14:textId="77777777" w:rsidR="009F5A43" w:rsidRPr="003C528A" w:rsidRDefault="009F5A43" w:rsidP="009F5A43">
      <w:pPr>
        <w:pStyle w:val="ListParagraph"/>
        <w:numPr>
          <w:ilvl w:val="0"/>
          <w:numId w:val="28"/>
        </w:numPr>
        <w:spacing w:after="120"/>
        <w:rPr>
          <w:rFonts w:cs="Times New Roman"/>
        </w:rPr>
      </w:pPr>
      <w:r w:rsidRPr="003C528A">
        <w:rPr>
          <w:rFonts w:cs="Times New Roman"/>
        </w:rPr>
        <w:t>Wellbeing:</w:t>
      </w:r>
      <w:r w:rsidRPr="003C528A">
        <w:rPr>
          <w:rFonts w:cs="Times New Roman"/>
          <w:i/>
        </w:rPr>
        <w:t xml:space="preserve"> </w:t>
      </w:r>
      <w:r w:rsidRPr="003C528A">
        <w:rPr>
          <w:rFonts w:cs="Times New Roman"/>
        </w:rPr>
        <w:t>Improved general wellbeing (including improvements in self-confidence) as well as improved health (physical and mental); and</w:t>
      </w:r>
    </w:p>
    <w:p w14:paraId="7EC31CDF" w14:textId="77777777" w:rsidR="009F5A43" w:rsidRPr="003C528A" w:rsidRDefault="009F5A43" w:rsidP="009F5A43">
      <w:pPr>
        <w:pStyle w:val="ListParagraph"/>
        <w:numPr>
          <w:ilvl w:val="0"/>
          <w:numId w:val="28"/>
        </w:numPr>
        <w:spacing w:after="120"/>
        <w:ind w:left="1434" w:hanging="357"/>
        <w:contextualSpacing w:val="0"/>
        <w:rPr>
          <w:rFonts w:cs="Times New Roman"/>
        </w:rPr>
      </w:pPr>
      <w:r w:rsidRPr="003C528A">
        <w:rPr>
          <w:rFonts w:cs="Times New Roman"/>
        </w:rPr>
        <w:t>Social:</w:t>
      </w:r>
      <w:r w:rsidRPr="003C528A">
        <w:rPr>
          <w:rFonts w:cs="Times New Roman"/>
          <w:i/>
        </w:rPr>
        <w:t xml:space="preserve"> </w:t>
      </w:r>
      <w:r w:rsidRPr="003C528A">
        <w:rPr>
          <w:rFonts w:cs="Times New Roman"/>
        </w:rPr>
        <w:t>Improved disposition to voluntary and community activity as well as improved civic attitudes.</w:t>
      </w:r>
    </w:p>
    <w:p w14:paraId="5790F534" w14:textId="77777777" w:rsidR="009F5A43" w:rsidRPr="003C528A" w:rsidRDefault="009F5A43" w:rsidP="009F5A43">
      <w:pPr>
        <w:pStyle w:val="ListParagraph"/>
        <w:numPr>
          <w:ilvl w:val="0"/>
          <w:numId w:val="27"/>
        </w:numPr>
        <w:spacing w:after="120"/>
        <w:rPr>
          <w:rFonts w:cs="Times New Roman"/>
        </w:rPr>
      </w:pPr>
      <w:r w:rsidRPr="003C528A">
        <w:rPr>
          <w:rFonts w:cs="Times New Roman"/>
        </w:rPr>
        <w:t>For employers:</w:t>
      </w:r>
    </w:p>
    <w:p w14:paraId="15104D52" w14:textId="77777777" w:rsidR="009F5A43" w:rsidRPr="003C528A" w:rsidRDefault="009F5A43" w:rsidP="009F5A43">
      <w:pPr>
        <w:pStyle w:val="ListParagraph"/>
        <w:numPr>
          <w:ilvl w:val="0"/>
          <w:numId w:val="28"/>
        </w:numPr>
        <w:spacing w:after="120"/>
        <w:rPr>
          <w:rFonts w:cs="Times New Roman"/>
        </w:rPr>
      </w:pPr>
      <w:r w:rsidRPr="003C528A">
        <w:rPr>
          <w:rFonts w:cs="Times New Roman"/>
        </w:rPr>
        <w:t>Companies’ innovation performance can be increased;</w:t>
      </w:r>
    </w:p>
    <w:p w14:paraId="2D7302B4" w14:textId="77777777" w:rsidR="009F5A43" w:rsidRPr="003C528A" w:rsidRDefault="009F5A43" w:rsidP="009F5A43">
      <w:pPr>
        <w:pStyle w:val="ListParagraph"/>
        <w:numPr>
          <w:ilvl w:val="0"/>
          <w:numId w:val="28"/>
        </w:numPr>
        <w:spacing w:after="120"/>
        <w:rPr>
          <w:rFonts w:cs="Times New Roman"/>
        </w:rPr>
      </w:pPr>
      <w:r w:rsidRPr="003C528A">
        <w:rPr>
          <w:rFonts w:cs="Times New Roman"/>
        </w:rPr>
        <w:t>Higher motivation of the workforce can be attained; and</w:t>
      </w:r>
    </w:p>
    <w:p w14:paraId="303B8AE8" w14:textId="77777777" w:rsidR="009F5A43" w:rsidRPr="003C528A" w:rsidRDefault="009F5A43" w:rsidP="009F5A43">
      <w:pPr>
        <w:pStyle w:val="ListParagraph"/>
        <w:numPr>
          <w:ilvl w:val="0"/>
          <w:numId w:val="28"/>
        </w:numPr>
        <w:spacing w:after="120"/>
        <w:ind w:left="1434" w:hanging="357"/>
        <w:contextualSpacing w:val="0"/>
        <w:rPr>
          <w:rFonts w:cs="Times New Roman"/>
        </w:rPr>
      </w:pPr>
      <w:r w:rsidRPr="003C528A">
        <w:rPr>
          <w:rFonts w:cs="Times New Roman"/>
        </w:rPr>
        <w:t xml:space="preserve">Increased productivity and profitability can be achieved. </w:t>
      </w:r>
    </w:p>
    <w:p w14:paraId="57592C96" w14:textId="77777777" w:rsidR="009F5A43" w:rsidRPr="003C528A" w:rsidRDefault="009F5A43" w:rsidP="009F5A43">
      <w:pPr>
        <w:pStyle w:val="ListParagraph"/>
        <w:numPr>
          <w:ilvl w:val="0"/>
          <w:numId w:val="27"/>
        </w:numPr>
        <w:spacing w:after="120"/>
        <w:rPr>
          <w:rFonts w:cs="Times New Roman"/>
        </w:rPr>
      </w:pPr>
      <w:r w:rsidRPr="003C528A">
        <w:rPr>
          <w:rFonts w:cs="Times New Roman"/>
        </w:rPr>
        <w:t xml:space="preserve">For the community: </w:t>
      </w:r>
    </w:p>
    <w:p w14:paraId="7631042A" w14:textId="77777777" w:rsidR="009F5A43" w:rsidRPr="003C528A" w:rsidRDefault="009F5A43" w:rsidP="009F5A43">
      <w:pPr>
        <w:pStyle w:val="ListParagraph"/>
        <w:numPr>
          <w:ilvl w:val="0"/>
          <w:numId w:val="28"/>
        </w:numPr>
        <w:spacing w:after="120"/>
        <w:rPr>
          <w:rFonts w:cs="Times New Roman"/>
          <w:i/>
        </w:rPr>
      </w:pPr>
      <w:r w:rsidRPr="003C528A">
        <w:rPr>
          <w:rFonts w:cs="Times New Roman"/>
        </w:rPr>
        <w:lastRenderedPageBreak/>
        <w:t>Economic:</w:t>
      </w:r>
      <w:r w:rsidRPr="003C528A">
        <w:rPr>
          <w:rFonts w:cs="Times New Roman"/>
          <w:i/>
        </w:rPr>
        <w:t xml:space="preserve"> </w:t>
      </w:r>
      <w:r w:rsidRPr="003C528A">
        <w:rPr>
          <w:rFonts w:cs="Times New Roman"/>
        </w:rPr>
        <w:t>greater economic competitiveness and higher GDP; and</w:t>
      </w:r>
    </w:p>
    <w:p w14:paraId="5179C24F" w14:textId="77777777" w:rsidR="009F5A43" w:rsidRPr="003C528A" w:rsidRDefault="009F5A43" w:rsidP="009F5A43">
      <w:pPr>
        <w:pStyle w:val="ListParagraph"/>
        <w:numPr>
          <w:ilvl w:val="0"/>
          <w:numId w:val="28"/>
        </w:numPr>
        <w:spacing w:after="120"/>
        <w:ind w:left="1434" w:hanging="357"/>
        <w:contextualSpacing w:val="0"/>
        <w:rPr>
          <w:rFonts w:cs="Times New Roman"/>
          <w:i/>
        </w:rPr>
      </w:pPr>
      <w:r w:rsidRPr="003C528A">
        <w:rPr>
          <w:rFonts w:cs="Times New Roman"/>
        </w:rPr>
        <w:t>Social:</w:t>
      </w:r>
      <w:r w:rsidRPr="003C528A">
        <w:rPr>
          <w:rFonts w:cs="Times New Roman"/>
          <w:i/>
        </w:rPr>
        <w:t xml:space="preserve"> </w:t>
      </w:r>
      <w:r w:rsidRPr="003C528A">
        <w:rPr>
          <w:rFonts w:cs="Times New Roman"/>
        </w:rPr>
        <w:t>positive effects on health, the environment and reduced reoffending.</w:t>
      </w:r>
    </w:p>
    <w:p w14:paraId="25F7EAF9" w14:textId="77777777" w:rsidR="00DE4B2A" w:rsidRDefault="00DE4B2A" w:rsidP="009F5A43">
      <w:pPr>
        <w:rPr>
          <w:rFonts w:cs="Times New Roman"/>
        </w:rPr>
      </w:pPr>
      <w:r w:rsidRPr="002709B4">
        <w:rPr>
          <w:rFonts w:cs="Times New Roman"/>
        </w:rPr>
        <w:t>To unlock the abovementioned benefits and be (and remain) effective in the long-run, knowledge and skills development policy interventions should cover all stages of life from a lifelong perspective. At the same time, such policy interventions should factor in the fact that skills foundation begin in early childhood and is b</w:t>
      </w:r>
      <w:r>
        <w:rPr>
          <w:rFonts w:cs="Times New Roman"/>
        </w:rPr>
        <w:t xml:space="preserve">uilt up over one’s </w:t>
      </w:r>
      <w:r w:rsidRPr="001054BB">
        <w:rPr>
          <w:rFonts w:cs="Times New Roman"/>
        </w:rPr>
        <w:t>lifetime.</w:t>
      </w:r>
      <w:r w:rsidRPr="00A44ECF">
        <w:rPr>
          <w:rStyle w:val="FootnoteReference"/>
          <w:rFonts w:ascii="Arial" w:hAnsi="Arial" w:cs="Arial"/>
        </w:rPr>
        <w:footnoteReference w:id="11"/>
      </w:r>
    </w:p>
    <w:p w14:paraId="47201EB3" w14:textId="396892F9" w:rsidR="009F5A43" w:rsidRPr="003C528A" w:rsidRDefault="009F5A43" w:rsidP="009F5A43">
      <w:pPr>
        <w:rPr>
          <w:rFonts w:cs="Times New Roman"/>
        </w:rPr>
      </w:pPr>
      <w:r w:rsidRPr="003C528A">
        <w:rPr>
          <w:rFonts w:cs="Times New Roman"/>
        </w:rPr>
        <w:t xml:space="preserve">   </w:t>
      </w:r>
    </w:p>
    <w:p w14:paraId="273EA3C9" w14:textId="0D3A0365" w:rsidR="00952CED" w:rsidRPr="003C528A" w:rsidRDefault="009F5A43" w:rsidP="009F5A43">
      <w:pPr>
        <w:pStyle w:val="Heading2"/>
        <w:spacing w:after="120"/>
        <w:ind w:left="578" w:hanging="578"/>
        <w:rPr>
          <w:rStyle w:val="Heading2Char"/>
        </w:rPr>
      </w:pPr>
      <w:bookmarkStart w:id="34" w:name="_Toc24726230"/>
      <w:bookmarkStart w:id="35" w:name="_Toc24732653"/>
      <w:bookmarkStart w:id="36" w:name="_Toc24983380"/>
      <w:r w:rsidRPr="003C528A">
        <w:rPr>
          <w:rStyle w:val="Heading2Char"/>
        </w:rPr>
        <w:t>The need to enhance access to quality education, training and related services</w:t>
      </w:r>
      <w:bookmarkEnd w:id="34"/>
      <w:bookmarkEnd w:id="35"/>
      <w:bookmarkEnd w:id="36"/>
    </w:p>
    <w:p w14:paraId="26187BA4" w14:textId="22CE40A8" w:rsidR="009F5A43" w:rsidRPr="003C528A" w:rsidRDefault="009F5A43" w:rsidP="009F5A43">
      <w:pPr>
        <w:pStyle w:val="Text2"/>
        <w:spacing w:after="200" w:line="276" w:lineRule="auto"/>
        <w:ind w:left="0"/>
        <w:rPr>
          <w:lang w:val="en-US"/>
        </w:rPr>
      </w:pPr>
      <w:r w:rsidRPr="003C528A">
        <w:rPr>
          <w:color w:val="000000" w:themeColor="text1"/>
        </w:rPr>
        <w:t>The Skills Agenda for Europe, adopted in June</w:t>
      </w:r>
      <w:r w:rsidR="00EC38C7" w:rsidRPr="003C528A">
        <w:rPr>
          <w:color w:val="000000" w:themeColor="text1"/>
        </w:rPr>
        <w:t xml:space="preserve"> </w:t>
      </w:r>
      <w:r w:rsidRPr="003C528A">
        <w:rPr>
          <w:color w:val="000000" w:themeColor="text1"/>
        </w:rPr>
        <w:t xml:space="preserve">2016, bridges the worlds of education and work, mobilising stakeholders in numerous policy fields. Education and training cooperation is one part of this wider skills policy landscape. </w:t>
      </w:r>
      <w:r w:rsidR="00EC38C7" w:rsidRPr="003C528A">
        <w:rPr>
          <w:color w:val="000000" w:themeColor="text1"/>
        </w:rPr>
        <w:t>The Agenda</w:t>
      </w:r>
      <w:r w:rsidRPr="003C528A">
        <w:rPr>
          <w:color w:val="000000" w:themeColor="text1"/>
        </w:rPr>
        <w:t xml:space="preserve"> launched 10 actions to make the right education and training, skills and support available to people in the EU. It is centred on three strands: 1) improve the quality and relevance of skills formation; 2) make skills and qualifications more visible and comparable; and 3) improve skills intelligence and information for better career choices. The European Pillar of Social Rights, proclaimed in 2017 by the European Parliament, the Council and the European Commission, sets as its very first principle “The Right to Education, Training and Lifelong learning”.</w:t>
      </w:r>
    </w:p>
    <w:p w14:paraId="144C1A3F" w14:textId="77777777" w:rsidR="009F5A43" w:rsidRPr="003C528A" w:rsidRDefault="009F5A43" w:rsidP="009F5A43">
      <w:pPr>
        <w:rPr>
          <w:rFonts w:cs="Times New Roman"/>
          <w:b/>
          <w:szCs w:val="24"/>
        </w:rPr>
      </w:pPr>
      <w:r w:rsidRPr="003C528A">
        <w:rPr>
          <w:rFonts w:cs="Times New Roman"/>
          <w:szCs w:val="24"/>
        </w:rPr>
        <w:t>Notwithstanding the above, education and training opportunities are still not accessible to a significant number of people. We now need to move one-step further to turn into reality the first principle of the European Pillar of Social Rights promoting the right for everyone to quality and inclusive education, training and lifelong learning.</w:t>
      </w:r>
    </w:p>
    <w:p w14:paraId="4697AA4B" w14:textId="77777777" w:rsidR="009F5A43" w:rsidRPr="003C528A" w:rsidRDefault="009F5A43" w:rsidP="009F5A43">
      <w:pPr>
        <w:pStyle w:val="Text2"/>
        <w:spacing w:after="200" w:line="276" w:lineRule="auto"/>
        <w:ind w:left="0"/>
        <w:rPr>
          <w:lang w:eastAsia="en-US"/>
        </w:rPr>
      </w:pPr>
      <w:r w:rsidRPr="003C528A">
        <w:rPr>
          <w:lang w:eastAsia="en-US"/>
        </w:rPr>
        <w:t>The level of educational attainment and of key information processing skills – literacy and numeracy – in the EU are lagging behind those possessed by adults in other key mature economies. Furthermore, adult participation in learning and investments in adult upskilling and reskilling, based on available international data, are lagging in the EU as compared to the US, Canada or Australia</w:t>
      </w:r>
      <w:r w:rsidRPr="003C528A">
        <w:rPr>
          <w:rStyle w:val="FootnoteReference"/>
          <w:lang w:eastAsia="en-US"/>
        </w:rPr>
        <w:footnoteReference w:id="12"/>
      </w:r>
      <w:r w:rsidRPr="003C528A">
        <w:rPr>
          <w:lang w:eastAsia="en-US"/>
        </w:rPr>
        <w:t xml:space="preserve">. </w:t>
      </w:r>
    </w:p>
    <w:p w14:paraId="436CDD0E" w14:textId="77777777" w:rsidR="009F5A43" w:rsidRPr="003C528A" w:rsidRDefault="009F5A43" w:rsidP="009F5A43">
      <w:pPr>
        <w:rPr>
          <w:rFonts w:cs="Times New Roman"/>
          <w:szCs w:val="24"/>
        </w:rPr>
      </w:pPr>
      <w:r w:rsidRPr="003C528A">
        <w:rPr>
          <w:rFonts w:cs="Times New Roman"/>
          <w:szCs w:val="24"/>
        </w:rPr>
        <w:t>For example, in 2018, 59.6 million adults, aged 25-64, had only a low level of education –representing 21.9%, still a very significant share of the total adult population within this age-group in the EU.</w:t>
      </w:r>
      <w:r w:rsidRPr="003C528A">
        <w:rPr>
          <w:rFonts w:cs="Times New Roman"/>
          <w:color w:val="000000" w:themeColor="text1"/>
          <w:szCs w:val="24"/>
        </w:rPr>
        <w:t xml:space="preserve"> Even larger proportions of adults are low skilled, meaning they struggle with reading, writing, simple calculations and/or using a computer (‘basic skills’), according to OECD’s Survey of Adult Skills (PIAAC). </w:t>
      </w:r>
      <w:r w:rsidRPr="003C528A">
        <w:rPr>
          <w:rFonts w:cs="Times New Roman"/>
          <w:szCs w:val="24"/>
        </w:rPr>
        <w:t xml:space="preserve"> More generally, the EU suffers from persistently low levels of participation by adults in learning. Significant differences in the </w:t>
      </w:r>
      <w:r w:rsidRPr="003C528A">
        <w:rPr>
          <w:rFonts w:cs="Times New Roman"/>
          <w:szCs w:val="24"/>
        </w:rPr>
        <w:lastRenderedPageBreak/>
        <w:t>level of competences between countries and between socio-economic groups across the EU remain.</w:t>
      </w:r>
      <w:r w:rsidRPr="003C528A">
        <w:rPr>
          <w:rStyle w:val="FootnoteReference"/>
          <w:rFonts w:cs="Times New Roman"/>
          <w:szCs w:val="24"/>
        </w:rPr>
        <w:footnoteReference w:id="13"/>
      </w:r>
      <w:r w:rsidRPr="003C528A">
        <w:rPr>
          <w:rFonts w:cs="Times New Roman"/>
          <w:szCs w:val="24"/>
        </w:rPr>
        <w:t xml:space="preserve"> </w:t>
      </w:r>
    </w:p>
    <w:p w14:paraId="42694BCF" w14:textId="5F8D8E36" w:rsidR="009F5A43" w:rsidRPr="003C528A" w:rsidRDefault="009F5A43" w:rsidP="009F5A43">
      <w:pPr>
        <w:rPr>
          <w:rFonts w:cs="Times New Roman"/>
          <w:szCs w:val="24"/>
        </w:rPr>
      </w:pPr>
      <w:r w:rsidRPr="003C528A">
        <w:rPr>
          <w:rFonts w:cs="Times New Roman"/>
          <w:szCs w:val="24"/>
        </w:rPr>
        <w:t xml:space="preserve">All these </w:t>
      </w:r>
      <w:r w:rsidR="00EC38C7" w:rsidRPr="003C528A">
        <w:rPr>
          <w:rFonts w:cs="Times New Roman"/>
          <w:szCs w:val="24"/>
        </w:rPr>
        <w:t>considerations</w:t>
      </w:r>
      <w:r w:rsidRPr="003C528A">
        <w:rPr>
          <w:rFonts w:cs="Times New Roman"/>
          <w:szCs w:val="24"/>
        </w:rPr>
        <w:t xml:space="preserve"> point to weaknesses in skills investment markets in the EU, in particular private investment markets. Furthermore, evidence also suggest that a much more significant investment in adult learning would be required to realistically provide opportunities for a majority of adults to access adequate and frequent education and training opportunities.</w:t>
      </w:r>
      <w:r w:rsidRPr="003C528A">
        <w:rPr>
          <w:rStyle w:val="FootnoteReference"/>
          <w:rFonts w:cs="Times New Roman"/>
          <w:szCs w:val="24"/>
        </w:rPr>
        <w:footnoteReference w:id="14"/>
      </w:r>
    </w:p>
    <w:p w14:paraId="5C8E295A" w14:textId="5D9324DA" w:rsidR="009F5A43" w:rsidRPr="003C528A" w:rsidRDefault="009F5A43" w:rsidP="009F5A43">
      <w:pPr>
        <w:widowControl w:val="0"/>
        <w:tabs>
          <w:tab w:val="left" w:pos="360"/>
          <w:tab w:val="left" w:pos="720"/>
          <w:tab w:val="left" w:pos="900"/>
          <w:tab w:val="left" w:pos="1080"/>
        </w:tabs>
        <w:autoSpaceDE w:val="0"/>
        <w:autoSpaceDN w:val="0"/>
        <w:adjustRightInd w:val="0"/>
        <w:ind w:right="74"/>
        <w:rPr>
          <w:rFonts w:eastAsia="Times New Roman" w:cs="Times New Roman"/>
          <w:szCs w:val="24"/>
          <w:lang w:eastAsia="en-GB"/>
        </w:rPr>
      </w:pPr>
      <w:r w:rsidRPr="003C528A">
        <w:rPr>
          <w:rFonts w:cs="Times New Roman"/>
          <w:szCs w:val="24"/>
        </w:rPr>
        <w:t>The lack of financial resources is a major barrier to accessing education and training and creates unequal chance to education. For young people,</w:t>
      </w:r>
      <w:r w:rsidRPr="003C528A">
        <w:rPr>
          <w:rFonts w:eastAsia="Times New Roman" w:cs="Times New Roman"/>
          <w:szCs w:val="24"/>
          <w:lang w:eastAsia="en-GB"/>
        </w:rPr>
        <w:t xml:space="preserve"> access to education in many countries relies too heavily on parental social background and financial standing - 63% of the </w:t>
      </w:r>
      <w:r w:rsidRPr="003C528A">
        <w:rPr>
          <w:rFonts w:cs="Times New Roman"/>
          <w:szCs w:val="24"/>
        </w:rPr>
        <w:t>Erasmus+</w:t>
      </w:r>
      <w:r w:rsidRPr="003C528A">
        <w:rPr>
          <w:rFonts w:eastAsia="Times New Roman" w:cs="Times New Roman"/>
          <w:szCs w:val="24"/>
          <w:lang w:eastAsia="en-GB"/>
        </w:rPr>
        <w:t xml:space="preserve"> EU survey respondents would require their family support in the absence of the national or EU supported finance</w:t>
      </w:r>
      <w:r w:rsidRPr="003C528A">
        <w:rPr>
          <w:rFonts w:cs="Times New Roman"/>
          <w:szCs w:val="24"/>
          <w:vertAlign w:val="superscript"/>
        </w:rPr>
        <w:footnoteReference w:id="15"/>
      </w:r>
      <w:r w:rsidRPr="003C528A">
        <w:rPr>
          <w:rFonts w:eastAsia="Times New Roman" w:cs="Times New Roman"/>
          <w:szCs w:val="24"/>
          <w:lang w:eastAsia="en-GB"/>
        </w:rPr>
        <w:t>.</w:t>
      </w:r>
      <w:r w:rsidRPr="003C528A">
        <w:rPr>
          <w:rFonts w:eastAsia="Times New Roman" w:cs="Times New Roman"/>
          <w:szCs w:val="24"/>
          <w:vertAlign w:val="superscript"/>
          <w:lang w:eastAsia="en-GB"/>
        </w:rPr>
        <w:t xml:space="preserve"> </w:t>
      </w:r>
      <w:r w:rsidRPr="003C528A">
        <w:rPr>
          <w:rFonts w:eastAsia="Times New Roman" w:cs="Times New Roman"/>
          <w:szCs w:val="24"/>
          <w:lang w:eastAsia="en-GB"/>
        </w:rPr>
        <w:t>Such inequality is further enhanced for transnational mobility, as many national higher education support schemes do not allow students to take their national grants or loans to study abroad</w:t>
      </w:r>
      <w:r w:rsidRPr="003C528A">
        <w:rPr>
          <w:rStyle w:val="FootnoteReference"/>
          <w:rFonts w:cs="Times New Roman"/>
          <w:szCs w:val="24"/>
        </w:rPr>
        <w:footnoteReference w:id="16"/>
      </w:r>
      <w:r w:rsidRPr="003C528A">
        <w:rPr>
          <w:rFonts w:eastAsia="Times New Roman" w:cs="Times New Roman"/>
          <w:szCs w:val="24"/>
          <w:lang w:eastAsia="en-GB"/>
        </w:rPr>
        <w:t>. Similarly, for adults, interested to pursue further learning opportunities, the cost of training is one of the most significant barriers</w:t>
      </w:r>
      <w:r w:rsidRPr="003C528A">
        <w:rPr>
          <w:rStyle w:val="FootnoteReference"/>
          <w:rFonts w:eastAsia="Times New Roman" w:cs="Times New Roman"/>
          <w:szCs w:val="24"/>
          <w:lang w:eastAsia="en-GB"/>
        </w:rPr>
        <w:footnoteReference w:id="17"/>
      </w:r>
      <w:r w:rsidRPr="003C528A">
        <w:rPr>
          <w:rFonts w:eastAsia="Times New Roman" w:cs="Times New Roman"/>
          <w:szCs w:val="24"/>
          <w:lang w:eastAsia="en-GB"/>
        </w:rPr>
        <w:t>.</w:t>
      </w:r>
    </w:p>
    <w:p w14:paraId="54D543C7" w14:textId="70F9A565" w:rsidR="009F5A43" w:rsidRPr="003C528A" w:rsidRDefault="009F5A43" w:rsidP="009F5A43">
      <w:pPr>
        <w:rPr>
          <w:rFonts w:cs="Times New Roman"/>
          <w:szCs w:val="24"/>
          <w:lang w:val="en-US"/>
        </w:rPr>
      </w:pPr>
      <w:r w:rsidRPr="003C528A">
        <w:rPr>
          <w:rFonts w:cs="Times New Roman"/>
          <w:szCs w:val="24"/>
        </w:rPr>
        <w:t>At the same time, access to finance remains an issue for 25% of European SMEs</w:t>
      </w:r>
      <w:r w:rsidRPr="003C528A">
        <w:rPr>
          <w:rStyle w:val="FootnoteReference"/>
          <w:rFonts w:cs="Times New Roman"/>
          <w:szCs w:val="24"/>
        </w:rPr>
        <w:footnoteReference w:id="18"/>
      </w:r>
      <w:r w:rsidRPr="003C528A">
        <w:rPr>
          <w:rFonts w:cs="Times New Roman"/>
          <w:szCs w:val="24"/>
        </w:rPr>
        <w:t>, while around 15% of SMEs report to be seeking external finance for hiring and training employees</w:t>
      </w:r>
      <w:r w:rsidRPr="003C528A">
        <w:rPr>
          <w:rStyle w:val="FootnoteReference"/>
          <w:rFonts w:cs="Times New Roman"/>
          <w:szCs w:val="24"/>
        </w:rPr>
        <w:footnoteReference w:id="19"/>
      </w:r>
      <w:r w:rsidRPr="003C528A">
        <w:rPr>
          <w:rFonts w:cs="Times New Roman"/>
          <w:szCs w:val="24"/>
        </w:rPr>
        <w:t>. The lack of such finance coupled with the research which shows that employers</w:t>
      </w:r>
      <w:r w:rsidR="00EC38C7" w:rsidRPr="003C528A">
        <w:rPr>
          <w:rFonts w:cs="Times New Roman"/>
          <w:szCs w:val="24"/>
        </w:rPr>
        <w:t>’</w:t>
      </w:r>
      <w:r w:rsidRPr="003C528A">
        <w:rPr>
          <w:rFonts w:cs="Times New Roman"/>
          <w:szCs w:val="24"/>
        </w:rPr>
        <w:t xml:space="preserve"> investment in learning is key to increasing the availability and participation of adults in learning programs, constitutes a significant blockage to skills development. At the same time, finding skilled labour constitutes one of the most important issues faced by European SMEs. When looking at the SMEs that consider finding skilled labour a challenge, there is a clear upward trend pointing to the fact that finding skilled labour has become </w:t>
      </w:r>
      <w:r w:rsidRPr="003C528A">
        <w:rPr>
          <w:rFonts w:cs="Times New Roman"/>
          <w:szCs w:val="24"/>
          <w:lang w:val="en-US"/>
        </w:rPr>
        <w:t>a more pressing challenge in recent years.</w:t>
      </w:r>
    </w:p>
    <w:p w14:paraId="22558CA1" w14:textId="77777777" w:rsidR="005D64B2" w:rsidRDefault="005D64B2" w:rsidP="009F5A43">
      <w:pPr>
        <w:jc w:val="center"/>
        <w:rPr>
          <w:rFonts w:cs="Times New Roman"/>
          <w:b/>
          <w:szCs w:val="24"/>
        </w:rPr>
      </w:pPr>
    </w:p>
    <w:p w14:paraId="4A73D864" w14:textId="77777777" w:rsidR="005D64B2" w:rsidRDefault="005D64B2" w:rsidP="009F5A43">
      <w:pPr>
        <w:jc w:val="center"/>
        <w:rPr>
          <w:rFonts w:cs="Times New Roman"/>
          <w:b/>
          <w:szCs w:val="24"/>
        </w:rPr>
      </w:pPr>
    </w:p>
    <w:p w14:paraId="5581EE3B" w14:textId="77777777" w:rsidR="005D64B2" w:rsidRDefault="005D64B2" w:rsidP="009F5A43">
      <w:pPr>
        <w:jc w:val="center"/>
        <w:rPr>
          <w:rFonts w:cs="Times New Roman"/>
          <w:b/>
          <w:szCs w:val="24"/>
        </w:rPr>
      </w:pPr>
    </w:p>
    <w:p w14:paraId="57415EB6" w14:textId="77777777" w:rsidR="005D64B2" w:rsidRDefault="005D64B2" w:rsidP="009F5A43">
      <w:pPr>
        <w:jc w:val="center"/>
        <w:rPr>
          <w:rFonts w:cs="Times New Roman"/>
          <w:b/>
          <w:szCs w:val="24"/>
        </w:rPr>
      </w:pPr>
    </w:p>
    <w:p w14:paraId="1495FA38" w14:textId="7A3B7D43" w:rsidR="009F5A43" w:rsidRPr="003C528A" w:rsidRDefault="009F5A43" w:rsidP="009F5A43">
      <w:pPr>
        <w:jc w:val="center"/>
        <w:rPr>
          <w:rFonts w:cs="Times New Roman"/>
          <w:szCs w:val="24"/>
        </w:rPr>
      </w:pPr>
      <w:r w:rsidRPr="003C528A">
        <w:rPr>
          <w:rFonts w:cs="Times New Roman"/>
          <w:b/>
          <w:szCs w:val="24"/>
        </w:rPr>
        <w:lastRenderedPageBreak/>
        <w:t>Percentage of SMEs that indicate finding skilled labour is a pressing problem</w:t>
      </w:r>
    </w:p>
    <w:p w14:paraId="58ACF069" w14:textId="77777777" w:rsidR="009F5A43" w:rsidRPr="003C528A" w:rsidRDefault="009F5A43" w:rsidP="009F5A43">
      <w:pPr>
        <w:jc w:val="center"/>
        <w:rPr>
          <w:rFonts w:cs="Times New Roman"/>
          <w:szCs w:val="24"/>
        </w:rPr>
      </w:pPr>
      <w:r w:rsidRPr="003C528A">
        <w:rPr>
          <w:rFonts w:cs="Times New Roman"/>
          <w:noProof/>
          <w:szCs w:val="24"/>
          <w:lang w:eastAsia="en-GB"/>
        </w:rPr>
        <w:drawing>
          <wp:inline distT="0" distB="0" distL="0" distR="0" wp14:anchorId="786A4E39" wp14:editId="2147C62A">
            <wp:extent cx="4572000" cy="2514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8FE394" w14:textId="77777777" w:rsidR="009F5A43" w:rsidRPr="003C528A" w:rsidRDefault="009F5A43" w:rsidP="009F5A43">
      <w:pPr>
        <w:rPr>
          <w:rFonts w:cs="Times New Roman"/>
          <w:sz w:val="20"/>
          <w:szCs w:val="20"/>
        </w:rPr>
      </w:pPr>
      <w:r w:rsidRPr="003C528A">
        <w:rPr>
          <w:rFonts w:cs="Times New Roman"/>
          <w:b/>
          <w:i/>
          <w:sz w:val="20"/>
          <w:szCs w:val="20"/>
        </w:rPr>
        <w:t>Source:</w:t>
      </w:r>
      <w:r w:rsidRPr="003C528A">
        <w:rPr>
          <w:rFonts w:cs="Times New Roman"/>
          <w:i/>
          <w:sz w:val="20"/>
          <w:szCs w:val="20"/>
        </w:rPr>
        <w:t xml:space="preserve"> </w:t>
      </w:r>
      <w:r w:rsidRPr="003C528A">
        <w:rPr>
          <w:rFonts w:cs="Times New Roman"/>
          <w:sz w:val="20"/>
          <w:szCs w:val="20"/>
        </w:rPr>
        <w:t>EIF</w:t>
      </w:r>
    </w:p>
    <w:p w14:paraId="141A9323" w14:textId="77777777" w:rsidR="009F5A43" w:rsidRPr="003C528A" w:rsidRDefault="009F5A43" w:rsidP="009F5A43">
      <w:pPr>
        <w:rPr>
          <w:rFonts w:cs="Times New Roman"/>
          <w:szCs w:val="24"/>
        </w:rPr>
      </w:pPr>
      <w:r w:rsidRPr="003C528A">
        <w:rPr>
          <w:rFonts w:cs="Times New Roman"/>
          <w:szCs w:val="24"/>
        </w:rPr>
        <w:t>In addition, the EIB Investment Survey (IBIS)</w:t>
      </w:r>
      <w:r w:rsidRPr="003C528A">
        <w:rPr>
          <w:rStyle w:val="FootnoteReference"/>
          <w:rFonts w:cs="Times New Roman"/>
          <w:szCs w:val="24"/>
        </w:rPr>
        <w:footnoteReference w:id="20"/>
      </w:r>
      <w:r w:rsidRPr="003C528A">
        <w:rPr>
          <w:rFonts w:cs="Times New Roman"/>
          <w:szCs w:val="24"/>
        </w:rPr>
        <w:t xml:space="preserve"> shows that since 2016, the limited availability of skills has increasingly become a concern for firms and it is the most frequently named impediment to investment in a list of nine obstacles to investment. On average, 77% of firms report the limited availability of skills as an impediment to investment. </w:t>
      </w:r>
    </w:p>
    <w:p w14:paraId="5A8B6E9E" w14:textId="77777777" w:rsidR="009F5A43" w:rsidRPr="003C528A" w:rsidRDefault="009F5A43" w:rsidP="009F5A43">
      <w:pPr>
        <w:jc w:val="center"/>
        <w:rPr>
          <w:rFonts w:cs="Times New Roman"/>
          <w:b/>
          <w:szCs w:val="24"/>
        </w:rPr>
      </w:pPr>
      <w:r w:rsidRPr="003C528A">
        <w:rPr>
          <w:rFonts w:cs="Times New Roman"/>
          <w:b/>
          <w:szCs w:val="24"/>
        </w:rPr>
        <w:t>Share of firms reporting different obstacles to investment, in % (2016-2018)</w:t>
      </w:r>
    </w:p>
    <w:p w14:paraId="321F997D" w14:textId="77777777" w:rsidR="009F5A43" w:rsidRPr="003C528A" w:rsidRDefault="009F5A43" w:rsidP="009F5A43">
      <w:pPr>
        <w:pStyle w:val="ListParagraph"/>
        <w:jc w:val="center"/>
        <w:rPr>
          <w:rFonts w:cs="Times New Roman"/>
          <w:szCs w:val="24"/>
        </w:rPr>
      </w:pPr>
      <w:r w:rsidRPr="003C528A">
        <w:rPr>
          <w:rFonts w:cs="Times New Roman"/>
          <w:noProof/>
          <w:szCs w:val="24"/>
          <w:lang w:eastAsia="en-GB"/>
        </w:rPr>
        <w:drawing>
          <wp:inline distT="0" distB="0" distL="0" distR="0" wp14:anchorId="5989EAA2" wp14:editId="1AFB3D98">
            <wp:extent cx="4840224" cy="2792730"/>
            <wp:effectExtent l="0" t="0" r="0" b="7620"/>
            <wp:docPr id="6" name="Picture 6" descr="cid:image001.png@01D53CD0.58AA2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53CD0.58AA2F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60209" cy="2804261"/>
                    </a:xfrm>
                    <a:prstGeom prst="rect">
                      <a:avLst/>
                    </a:prstGeom>
                    <a:noFill/>
                    <a:ln>
                      <a:noFill/>
                    </a:ln>
                  </pic:spPr>
                </pic:pic>
              </a:graphicData>
            </a:graphic>
          </wp:inline>
        </w:drawing>
      </w:r>
    </w:p>
    <w:p w14:paraId="01500E15" w14:textId="77777777" w:rsidR="009F5A43" w:rsidRPr="003C528A" w:rsidRDefault="009F5A43" w:rsidP="009F5A43">
      <w:pPr>
        <w:widowControl w:val="0"/>
        <w:tabs>
          <w:tab w:val="left" w:pos="360"/>
          <w:tab w:val="left" w:pos="720"/>
          <w:tab w:val="left" w:pos="900"/>
          <w:tab w:val="left" w:pos="1080"/>
        </w:tabs>
        <w:autoSpaceDE w:val="0"/>
        <w:autoSpaceDN w:val="0"/>
        <w:adjustRightInd w:val="0"/>
        <w:spacing w:after="120" w:line="240" w:lineRule="auto"/>
        <w:ind w:right="74"/>
        <w:rPr>
          <w:rFonts w:eastAsia="Times New Roman" w:cs="Times New Roman"/>
          <w:sz w:val="20"/>
          <w:szCs w:val="20"/>
          <w:lang w:eastAsia="en-GB"/>
        </w:rPr>
      </w:pPr>
      <w:r w:rsidRPr="003C528A">
        <w:rPr>
          <w:rFonts w:eastAsia="Times New Roman" w:cs="Times New Roman"/>
          <w:b/>
          <w:i/>
          <w:sz w:val="20"/>
          <w:szCs w:val="20"/>
          <w:lang w:eastAsia="en-GB"/>
        </w:rPr>
        <w:t>Source</w:t>
      </w:r>
      <w:r w:rsidRPr="003C528A">
        <w:rPr>
          <w:rFonts w:eastAsia="Times New Roman" w:cs="Times New Roman"/>
          <w:sz w:val="20"/>
          <w:szCs w:val="20"/>
          <w:lang w:eastAsia="en-GB"/>
        </w:rPr>
        <w:t xml:space="preserve">: EIB Working Paper. “Skills shortages and skill mismatch in Europe. A review of the literature. </w:t>
      </w:r>
    </w:p>
    <w:p w14:paraId="7738DB8C" w14:textId="3DE299FA" w:rsidR="009F5A43" w:rsidRPr="003C528A" w:rsidRDefault="009F5A43" w:rsidP="009F5A43">
      <w:pPr>
        <w:widowControl w:val="0"/>
        <w:tabs>
          <w:tab w:val="left" w:pos="360"/>
          <w:tab w:val="left" w:pos="720"/>
          <w:tab w:val="left" w:pos="900"/>
          <w:tab w:val="left" w:pos="1080"/>
        </w:tabs>
        <w:autoSpaceDE w:val="0"/>
        <w:autoSpaceDN w:val="0"/>
        <w:adjustRightInd w:val="0"/>
        <w:ind w:right="74"/>
        <w:rPr>
          <w:rFonts w:eastAsia="Times New Roman" w:cs="Times New Roman"/>
          <w:szCs w:val="24"/>
          <w:lang w:eastAsia="en-GB"/>
        </w:rPr>
      </w:pPr>
      <w:r w:rsidRPr="003C528A">
        <w:rPr>
          <w:rFonts w:eastAsia="Times New Roman" w:cs="Times New Roman"/>
          <w:szCs w:val="24"/>
          <w:lang w:eastAsia="en-GB"/>
        </w:rPr>
        <w:t xml:space="preserve">In the EU, there is an evident problem of skills shortage; with 40% of the European employers are having difficulties in finding people with relevant and up-to-date skills. There is also a growing demand for skilled workforce with recent forecasts indicating that by 2030 </w:t>
      </w:r>
      <w:r w:rsidRPr="003C528A">
        <w:rPr>
          <w:rFonts w:eastAsia="Times New Roman" w:cs="Times New Roman"/>
          <w:szCs w:val="24"/>
          <w:lang w:eastAsia="en-GB"/>
        </w:rPr>
        <w:lastRenderedPageBreak/>
        <w:t>some 16 million jobs will be created, which require higher skills, while jobs requiring only low level of skills will decline by more than 7 million.</w:t>
      </w:r>
      <w:r w:rsidRPr="003C528A">
        <w:rPr>
          <w:rFonts w:eastAsia="Times New Roman" w:cs="Times New Roman"/>
          <w:szCs w:val="24"/>
          <w:vertAlign w:val="superscript"/>
          <w:lang w:eastAsia="en-GB"/>
        </w:rPr>
        <w:footnoteReference w:id="21"/>
      </w:r>
      <w:r w:rsidRPr="003C528A">
        <w:rPr>
          <w:rFonts w:eastAsia="Times New Roman" w:cs="Times New Roman"/>
          <w:szCs w:val="24"/>
          <w:lang w:eastAsia="en-GB"/>
        </w:rPr>
        <w:t xml:space="preserve"> At the same time, more than half of the long-term unemployed are considered as low skilled; around one third of the EU workforce is lacking basic literacy and/or numeracy skills and around 20% have only a low level of educational attainment. The ageing and shrinking EU workforce will further aggravate the already existing skills gaps</w:t>
      </w:r>
      <w:r w:rsidRPr="003C528A">
        <w:rPr>
          <w:rFonts w:eastAsia="Times New Roman" w:cs="Times New Roman"/>
          <w:szCs w:val="24"/>
          <w:vertAlign w:val="superscript"/>
          <w:lang w:eastAsia="en-GB"/>
        </w:rPr>
        <w:footnoteReference w:id="22"/>
      </w:r>
      <w:r w:rsidRPr="003C528A">
        <w:rPr>
          <w:rFonts w:eastAsia="Times New Roman" w:cs="Times New Roman"/>
          <w:szCs w:val="24"/>
          <w:lang w:eastAsia="en-GB"/>
        </w:rPr>
        <w:t>.</w:t>
      </w:r>
    </w:p>
    <w:p w14:paraId="5B4B723C" w14:textId="3B24AE1A" w:rsidR="009F5A43" w:rsidRPr="003C528A" w:rsidRDefault="009F5A43" w:rsidP="009F5A43">
      <w:pPr>
        <w:widowControl w:val="0"/>
        <w:tabs>
          <w:tab w:val="left" w:pos="360"/>
          <w:tab w:val="left" w:pos="720"/>
          <w:tab w:val="left" w:pos="900"/>
          <w:tab w:val="left" w:pos="1080"/>
        </w:tabs>
        <w:autoSpaceDE w:val="0"/>
        <w:autoSpaceDN w:val="0"/>
        <w:adjustRightInd w:val="0"/>
        <w:ind w:right="74"/>
        <w:rPr>
          <w:rFonts w:cs="Times New Roman"/>
          <w:szCs w:val="24"/>
        </w:rPr>
      </w:pPr>
      <w:r w:rsidRPr="003C528A">
        <w:rPr>
          <w:rFonts w:eastAsia="Times New Roman" w:cs="Times New Roman"/>
          <w:szCs w:val="24"/>
          <w:lang w:eastAsia="en-GB"/>
        </w:rPr>
        <w:t xml:space="preserve">Finally, there are significant gaps in the European market of early stage and venture capital investment targeting start-ups who develop new technologies or business models in the area of education, training and related services. </w:t>
      </w:r>
      <w:r w:rsidRPr="003C528A">
        <w:rPr>
          <w:rFonts w:cs="Times New Roman"/>
          <w:szCs w:val="24"/>
        </w:rPr>
        <w:t>For example, a recent report</w:t>
      </w:r>
      <w:r w:rsidRPr="003C528A">
        <w:rPr>
          <w:rStyle w:val="FootnoteReference"/>
          <w:rFonts w:cs="Times New Roman"/>
          <w:szCs w:val="24"/>
        </w:rPr>
        <w:footnoteReference w:id="23"/>
      </w:r>
      <w:r w:rsidRPr="003C528A">
        <w:rPr>
          <w:rFonts w:cs="Times New Roman"/>
          <w:szCs w:val="24"/>
        </w:rPr>
        <w:t xml:space="preserve"> from a dedicated VC fund for investment in education and training technology (Brighteyefund) suggests, that the total financing volume for education and training technology in the EU is significantly behind other world regions. Notably, i</w:t>
      </w:r>
      <w:r w:rsidRPr="003C528A">
        <w:rPr>
          <w:rFonts w:cs="Times New Roman"/>
          <w:bCs/>
          <w:szCs w:val="24"/>
        </w:rPr>
        <w:t xml:space="preserve">n 2018 the total investment in education and training technology </w:t>
      </w:r>
      <w:r w:rsidRPr="003C528A">
        <w:rPr>
          <w:rFonts w:cs="Times New Roman"/>
          <w:b/>
          <w:bCs/>
          <w:szCs w:val="24"/>
        </w:rPr>
        <w:t>in the EU was E</w:t>
      </w:r>
      <w:r w:rsidR="00EC38C7" w:rsidRPr="003C528A">
        <w:rPr>
          <w:rFonts w:cs="Times New Roman"/>
          <w:b/>
          <w:bCs/>
          <w:szCs w:val="24"/>
        </w:rPr>
        <w:t>UR</w:t>
      </w:r>
      <w:r w:rsidRPr="003C528A">
        <w:rPr>
          <w:rFonts w:cs="Times New Roman"/>
          <w:b/>
          <w:bCs/>
          <w:szCs w:val="24"/>
        </w:rPr>
        <w:t xml:space="preserve"> 0.7 bn, less than half as compared to US (EUR 1.7</w:t>
      </w:r>
      <w:r w:rsidR="00EC38C7" w:rsidRPr="003C528A">
        <w:rPr>
          <w:rFonts w:cs="Times New Roman"/>
          <w:b/>
          <w:bCs/>
          <w:szCs w:val="24"/>
        </w:rPr>
        <w:t xml:space="preserve"> </w:t>
      </w:r>
      <w:r w:rsidRPr="003C528A">
        <w:rPr>
          <w:rFonts w:cs="Times New Roman"/>
          <w:b/>
          <w:bCs/>
          <w:szCs w:val="24"/>
        </w:rPr>
        <w:t>bn) and less than one-fourth as compared to China (E</w:t>
      </w:r>
      <w:r w:rsidR="00EC38C7" w:rsidRPr="003C528A">
        <w:rPr>
          <w:rFonts w:cs="Times New Roman"/>
          <w:b/>
          <w:bCs/>
          <w:szCs w:val="24"/>
        </w:rPr>
        <w:t>UR</w:t>
      </w:r>
      <w:r w:rsidRPr="003C528A">
        <w:rPr>
          <w:rFonts w:cs="Times New Roman"/>
          <w:b/>
          <w:bCs/>
          <w:szCs w:val="24"/>
        </w:rPr>
        <w:t xml:space="preserve"> 3.3 </w:t>
      </w:r>
      <w:r w:rsidR="00EC38C7" w:rsidRPr="003C528A">
        <w:rPr>
          <w:rFonts w:cs="Times New Roman"/>
          <w:b/>
          <w:bCs/>
          <w:szCs w:val="24"/>
        </w:rPr>
        <w:t>b</w:t>
      </w:r>
      <w:r w:rsidRPr="003C528A">
        <w:rPr>
          <w:rFonts w:cs="Times New Roman"/>
          <w:b/>
          <w:bCs/>
          <w:szCs w:val="24"/>
        </w:rPr>
        <w:t>n)</w:t>
      </w:r>
      <w:r w:rsidRPr="003C528A">
        <w:rPr>
          <w:rFonts w:cs="Times New Roman"/>
          <w:szCs w:val="24"/>
        </w:rPr>
        <w:t>, suggesting major gaps in the pipeline and financing.</w:t>
      </w:r>
    </w:p>
    <w:p w14:paraId="2CFDF997" w14:textId="4E0F4945" w:rsidR="00952CED" w:rsidRPr="003C528A" w:rsidRDefault="009F5A43" w:rsidP="00B7588B">
      <w:pPr>
        <w:pStyle w:val="Heading2"/>
        <w:spacing w:after="120"/>
        <w:ind w:left="578" w:hanging="578"/>
        <w:rPr>
          <w:rStyle w:val="Heading2Char"/>
        </w:rPr>
      </w:pPr>
      <w:bookmarkStart w:id="37" w:name="_Toc21452427"/>
      <w:bookmarkStart w:id="38" w:name="_Toc24726231"/>
      <w:bookmarkStart w:id="39" w:name="_Toc24732654"/>
      <w:bookmarkStart w:id="40" w:name="_Toc24983381"/>
      <w:r w:rsidRPr="003C528A">
        <w:rPr>
          <w:rStyle w:val="Heading2Char"/>
        </w:rPr>
        <w:t>Funding needs and types of EU-level financial instruments</w:t>
      </w:r>
      <w:bookmarkEnd w:id="37"/>
      <w:bookmarkEnd w:id="38"/>
      <w:bookmarkEnd w:id="39"/>
      <w:bookmarkEnd w:id="40"/>
    </w:p>
    <w:p w14:paraId="0FCBEA0A" w14:textId="77777777" w:rsidR="009F5A43" w:rsidRPr="003C528A" w:rsidRDefault="009F5A43" w:rsidP="009F5A43">
      <w:pPr>
        <w:autoSpaceDE w:val="0"/>
        <w:autoSpaceDN w:val="0"/>
        <w:adjustRightInd w:val="0"/>
        <w:spacing w:after="120"/>
        <w:contextualSpacing/>
        <w:rPr>
          <w:rFonts w:eastAsia="Times New Roman" w:cs="Times New Roman"/>
          <w:szCs w:val="24"/>
          <w:lang w:eastAsia="en-GB"/>
        </w:rPr>
      </w:pPr>
      <w:r w:rsidRPr="003C528A">
        <w:rPr>
          <w:rFonts w:eastAsia="Times New Roman" w:cs="Times New Roman"/>
          <w:szCs w:val="24"/>
          <w:lang w:eastAsia="en-GB"/>
        </w:rPr>
        <w:t>The financial products under Invest EU for skills will target nine categories of activities, depending on the policy objective and type of delivery mechanism:</w:t>
      </w:r>
    </w:p>
    <w:p w14:paraId="1CDE321D" w14:textId="77777777" w:rsidR="009F5A43" w:rsidRPr="003C528A" w:rsidRDefault="009F5A43" w:rsidP="009F5A43">
      <w:pPr>
        <w:pStyle w:val="ListParagraph"/>
        <w:numPr>
          <w:ilvl w:val="0"/>
          <w:numId w:val="30"/>
        </w:numPr>
        <w:autoSpaceDE w:val="0"/>
        <w:autoSpaceDN w:val="0"/>
        <w:adjustRightInd w:val="0"/>
        <w:spacing w:after="120"/>
        <w:rPr>
          <w:rFonts w:eastAsia="Times New Roman" w:cs="Times New Roman"/>
          <w:szCs w:val="24"/>
          <w:lang w:eastAsia="en-GB"/>
        </w:rPr>
      </w:pPr>
      <w:r w:rsidRPr="003C528A">
        <w:rPr>
          <w:rFonts w:eastAsia="Times New Roman" w:cs="Times New Roman"/>
          <w:szCs w:val="24"/>
          <w:lang w:eastAsia="en-GB"/>
        </w:rPr>
        <w:t>Supporting education, training and related services (first objective)</w:t>
      </w:r>
    </w:p>
    <w:p w14:paraId="13354A05" w14:textId="77777777" w:rsidR="009F5A43" w:rsidRPr="003C528A" w:rsidRDefault="009F5A43" w:rsidP="009F5A43">
      <w:pPr>
        <w:pStyle w:val="ListParagraph"/>
        <w:numPr>
          <w:ilvl w:val="0"/>
          <w:numId w:val="30"/>
        </w:numPr>
        <w:autoSpaceDE w:val="0"/>
        <w:autoSpaceDN w:val="0"/>
        <w:adjustRightInd w:val="0"/>
        <w:spacing w:after="120"/>
        <w:rPr>
          <w:rFonts w:eastAsia="Times New Roman" w:cs="Times New Roman"/>
          <w:szCs w:val="24"/>
          <w:lang w:eastAsia="en-GB"/>
        </w:rPr>
      </w:pPr>
      <w:r w:rsidRPr="003C528A">
        <w:rPr>
          <w:rFonts w:eastAsia="Times New Roman" w:cs="Times New Roman"/>
          <w:szCs w:val="24"/>
          <w:lang w:eastAsia="en-GB"/>
        </w:rPr>
        <w:t>Employee training (second objective)</w:t>
      </w:r>
    </w:p>
    <w:p w14:paraId="7E65603A" w14:textId="77777777" w:rsidR="009F5A43" w:rsidRPr="003C528A" w:rsidRDefault="009F5A43" w:rsidP="009F5A43">
      <w:pPr>
        <w:pStyle w:val="ListParagraph"/>
        <w:numPr>
          <w:ilvl w:val="0"/>
          <w:numId w:val="30"/>
        </w:numPr>
        <w:autoSpaceDE w:val="0"/>
        <w:autoSpaceDN w:val="0"/>
        <w:adjustRightInd w:val="0"/>
        <w:spacing w:after="120"/>
        <w:rPr>
          <w:rFonts w:eastAsia="Times New Roman" w:cs="Times New Roman"/>
          <w:szCs w:val="24"/>
          <w:lang w:eastAsia="en-GB"/>
        </w:rPr>
      </w:pPr>
      <w:r w:rsidRPr="003C528A">
        <w:rPr>
          <w:rFonts w:eastAsia="Times New Roman" w:cs="Times New Roman"/>
          <w:szCs w:val="24"/>
          <w:lang w:eastAsia="en-GB"/>
        </w:rPr>
        <w:t>Apprenticeships</w:t>
      </w:r>
      <w:r w:rsidRPr="003C528A">
        <w:rPr>
          <w:rFonts w:eastAsia="Times New Roman"/>
          <w:vertAlign w:val="superscript"/>
          <w:lang w:eastAsia="en-GB"/>
        </w:rPr>
        <w:footnoteReference w:id="24"/>
      </w:r>
      <w:r w:rsidRPr="003C528A">
        <w:rPr>
          <w:rFonts w:eastAsia="Times New Roman" w:cs="Times New Roman"/>
          <w:szCs w:val="24"/>
          <w:vertAlign w:val="superscript"/>
          <w:lang w:eastAsia="en-GB"/>
        </w:rPr>
        <w:t xml:space="preserve"> </w:t>
      </w:r>
      <w:r w:rsidRPr="003C528A">
        <w:rPr>
          <w:rFonts w:eastAsia="Times New Roman" w:cs="Times New Roman"/>
          <w:szCs w:val="24"/>
          <w:lang w:eastAsia="en-GB"/>
        </w:rPr>
        <w:t>(second objective)</w:t>
      </w:r>
    </w:p>
    <w:p w14:paraId="12299D0A" w14:textId="77777777" w:rsidR="009F5A43" w:rsidRPr="003C528A" w:rsidRDefault="009F5A43" w:rsidP="009F5A43">
      <w:pPr>
        <w:pStyle w:val="ListParagraph"/>
        <w:numPr>
          <w:ilvl w:val="0"/>
          <w:numId w:val="30"/>
        </w:numPr>
        <w:autoSpaceDE w:val="0"/>
        <w:autoSpaceDN w:val="0"/>
        <w:adjustRightInd w:val="0"/>
        <w:spacing w:after="120"/>
        <w:rPr>
          <w:rFonts w:eastAsia="Times New Roman" w:cs="Times New Roman"/>
          <w:szCs w:val="24"/>
          <w:lang w:eastAsia="en-GB"/>
        </w:rPr>
      </w:pPr>
      <w:r w:rsidRPr="003C528A">
        <w:rPr>
          <w:rFonts w:eastAsia="Times New Roman" w:cs="Times New Roman"/>
          <w:szCs w:val="24"/>
          <w:lang w:eastAsia="en-GB"/>
        </w:rPr>
        <w:t>Supporting skills-intensive business models (second objective)</w:t>
      </w:r>
    </w:p>
    <w:p w14:paraId="617A47CC" w14:textId="77777777" w:rsidR="009F5A43" w:rsidRPr="003C528A" w:rsidRDefault="009F5A43" w:rsidP="009F5A43">
      <w:pPr>
        <w:pStyle w:val="ListParagraph"/>
        <w:numPr>
          <w:ilvl w:val="0"/>
          <w:numId w:val="30"/>
        </w:numPr>
        <w:autoSpaceDE w:val="0"/>
        <w:autoSpaceDN w:val="0"/>
        <w:adjustRightInd w:val="0"/>
        <w:spacing w:after="120"/>
        <w:rPr>
          <w:rFonts w:eastAsia="Times New Roman" w:cs="Times New Roman"/>
          <w:szCs w:val="24"/>
          <w:lang w:eastAsia="en-GB"/>
        </w:rPr>
      </w:pPr>
      <w:r w:rsidRPr="003C528A">
        <w:rPr>
          <w:rFonts w:eastAsia="Times New Roman" w:cs="Times New Roman"/>
          <w:szCs w:val="24"/>
          <w:lang w:eastAsia="en-GB"/>
        </w:rPr>
        <w:t>Hiring, training and support for vulnerable adults (third objective)</w:t>
      </w:r>
    </w:p>
    <w:p w14:paraId="2B213BAC" w14:textId="77777777" w:rsidR="009F5A43" w:rsidRPr="003C528A" w:rsidRDefault="009F5A43" w:rsidP="009F5A43">
      <w:pPr>
        <w:pStyle w:val="ListParagraph"/>
        <w:numPr>
          <w:ilvl w:val="0"/>
          <w:numId w:val="30"/>
        </w:numPr>
        <w:autoSpaceDE w:val="0"/>
        <w:autoSpaceDN w:val="0"/>
        <w:adjustRightInd w:val="0"/>
        <w:spacing w:after="120"/>
        <w:rPr>
          <w:rFonts w:eastAsia="Times New Roman" w:cs="Times New Roman"/>
          <w:szCs w:val="24"/>
          <w:lang w:eastAsia="en-GB"/>
        </w:rPr>
      </w:pPr>
      <w:r w:rsidRPr="003C528A">
        <w:rPr>
          <w:rFonts w:eastAsia="Times New Roman" w:cs="Times New Roman"/>
          <w:szCs w:val="24"/>
          <w:lang w:eastAsia="en-GB"/>
        </w:rPr>
        <w:t>Investment platforms and PPPs (fourth objective)</w:t>
      </w:r>
    </w:p>
    <w:p w14:paraId="34FAF1CD" w14:textId="77777777" w:rsidR="009F5A43" w:rsidRPr="003C528A" w:rsidRDefault="009F5A43" w:rsidP="009F5A43">
      <w:pPr>
        <w:pStyle w:val="ListParagraph"/>
        <w:numPr>
          <w:ilvl w:val="0"/>
          <w:numId w:val="30"/>
        </w:numPr>
        <w:autoSpaceDE w:val="0"/>
        <w:autoSpaceDN w:val="0"/>
        <w:adjustRightInd w:val="0"/>
        <w:spacing w:after="120"/>
        <w:rPr>
          <w:rFonts w:eastAsia="Times New Roman" w:cs="Times New Roman"/>
          <w:szCs w:val="24"/>
          <w:lang w:eastAsia="en-GB"/>
        </w:rPr>
      </w:pPr>
      <w:r w:rsidRPr="003C528A">
        <w:rPr>
          <w:rFonts w:eastAsia="Times New Roman" w:cs="Times New Roman"/>
          <w:szCs w:val="24"/>
          <w:lang w:eastAsia="en-GB"/>
        </w:rPr>
        <w:t>Training funds (fourth objective)</w:t>
      </w:r>
    </w:p>
    <w:p w14:paraId="1A1B27C8" w14:textId="77777777" w:rsidR="009F5A43" w:rsidRPr="003C528A" w:rsidRDefault="009F5A43" w:rsidP="009F5A43">
      <w:pPr>
        <w:pStyle w:val="ListParagraph"/>
        <w:numPr>
          <w:ilvl w:val="0"/>
          <w:numId w:val="30"/>
        </w:numPr>
        <w:autoSpaceDE w:val="0"/>
        <w:autoSpaceDN w:val="0"/>
        <w:adjustRightInd w:val="0"/>
        <w:spacing w:after="120"/>
        <w:rPr>
          <w:rFonts w:eastAsia="Times New Roman" w:cs="Times New Roman"/>
          <w:szCs w:val="24"/>
          <w:lang w:eastAsia="en-GB"/>
        </w:rPr>
      </w:pPr>
      <w:r w:rsidRPr="003C528A">
        <w:rPr>
          <w:rFonts w:eastAsia="Times New Roman" w:cs="Times New Roman"/>
          <w:szCs w:val="24"/>
          <w:lang w:eastAsia="en-GB"/>
        </w:rPr>
        <w:t>Individual learning accounts (fourth objective)</w:t>
      </w:r>
    </w:p>
    <w:p w14:paraId="7502F054" w14:textId="2CC51A53" w:rsidR="009F5A43" w:rsidRPr="003C528A" w:rsidRDefault="009F5A43" w:rsidP="009F5A43">
      <w:pPr>
        <w:pStyle w:val="ListParagraph"/>
        <w:numPr>
          <w:ilvl w:val="0"/>
          <w:numId w:val="30"/>
        </w:numPr>
        <w:autoSpaceDE w:val="0"/>
        <w:autoSpaceDN w:val="0"/>
        <w:adjustRightInd w:val="0"/>
        <w:spacing w:after="240"/>
        <w:ind w:left="714" w:hanging="357"/>
        <w:contextualSpacing w:val="0"/>
        <w:rPr>
          <w:rFonts w:eastAsia="Times New Roman" w:cs="Times New Roman"/>
          <w:szCs w:val="24"/>
          <w:lang w:eastAsia="en-GB"/>
        </w:rPr>
      </w:pPr>
      <w:r w:rsidRPr="003C528A">
        <w:rPr>
          <w:rFonts w:eastAsia="Times New Roman" w:cs="Times New Roman"/>
          <w:szCs w:val="24"/>
          <w:lang w:eastAsia="en-GB"/>
        </w:rPr>
        <w:t>Support to individual learners (fifth objective)</w:t>
      </w:r>
    </w:p>
    <w:p w14:paraId="0CCABF14" w14:textId="77777777" w:rsidR="009F5A43" w:rsidRPr="003C528A" w:rsidRDefault="009F5A43" w:rsidP="009F5A43">
      <w:pPr>
        <w:pStyle w:val="ListParagraph"/>
        <w:numPr>
          <w:ilvl w:val="0"/>
          <w:numId w:val="35"/>
        </w:numPr>
        <w:spacing w:after="160" w:line="259" w:lineRule="auto"/>
        <w:ind w:left="567"/>
        <w:rPr>
          <w:rStyle w:val="SubtleEmphasis"/>
          <w:rFonts w:eastAsiaTheme="minorEastAsia"/>
          <w:spacing w:val="15"/>
        </w:rPr>
      </w:pPr>
      <w:r w:rsidRPr="003C528A">
        <w:rPr>
          <w:rStyle w:val="SubtleEmphasis"/>
          <w:rFonts w:eastAsiaTheme="minorEastAsia"/>
          <w:spacing w:val="15"/>
        </w:rPr>
        <w:t xml:space="preserve">Supporting education, training and related services </w:t>
      </w:r>
    </w:p>
    <w:p w14:paraId="59111FC8"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 xml:space="preserve">The objective is to incentivize implementing partners and other financial intermediaries to extend debt and/or equity finance to eligible organisations or projects, with the aim of </w:t>
      </w:r>
      <w:r w:rsidRPr="003C528A">
        <w:rPr>
          <w:rFonts w:cs="Times New Roman"/>
          <w:b/>
          <w:szCs w:val="24"/>
        </w:rPr>
        <w:t xml:space="preserve">supporting the growth and expansion of education, training, skills and related services across Europe and internationally. </w:t>
      </w:r>
      <w:r w:rsidRPr="003C528A">
        <w:rPr>
          <w:rFonts w:cs="Times New Roman"/>
          <w:szCs w:val="24"/>
        </w:rPr>
        <w:t>Activities could cover the whole life-cycle; from early childhood education to higher education, vocational training and adult learning.</w:t>
      </w:r>
    </w:p>
    <w:p w14:paraId="00FD1A5F" w14:textId="77777777" w:rsidR="009F5A43" w:rsidRPr="003C528A" w:rsidRDefault="009F5A43" w:rsidP="009F5A43">
      <w:pPr>
        <w:rPr>
          <w:rFonts w:cs="Times New Roman"/>
          <w:szCs w:val="24"/>
        </w:rPr>
      </w:pPr>
      <w:r w:rsidRPr="003C528A">
        <w:rPr>
          <w:rFonts w:cs="Times New Roman"/>
          <w:szCs w:val="24"/>
        </w:rPr>
        <w:lastRenderedPageBreak/>
        <w:t>Developing new or expanding existing business models in this sector is challenging, given that majority of such services are provided or financed by the public sector. This induces barriers for organisations working in this field to access financing for innovation and growth. Therefore, to facilitate innovation and scaling of innovative and competitive practices, supporting instruments are required enabling access to capital (debt, quasi-debt or equity) for all stages of business development and expansion (including initial stages of financing, i.e. pre-seed; seed and early stage financing).</w:t>
      </w:r>
    </w:p>
    <w:p w14:paraId="08E95268" w14:textId="43A4395D" w:rsidR="009F5A43" w:rsidRPr="003C528A" w:rsidRDefault="00EC38C7" w:rsidP="009F5A43">
      <w:pPr>
        <w:autoSpaceDE w:val="0"/>
        <w:autoSpaceDN w:val="0"/>
        <w:adjustRightInd w:val="0"/>
        <w:rPr>
          <w:rFonts w:cs="Times New Roman"/>
          <w:szCs w:val="24"/>
        </w:rPr>
      </w:pPr>
      <w:r w:rsidRPr="003C528A">
        <w:rPr>
          <w:rFonts w:cs="Times New Roman"/>
          <w:szCs w:val="24"/>
        </w:rPr>
        <w:t>I</w:t>
      </w:r>
      <w:r w:rsidR="009F5A43" w:rsidRPr="003C528A">
        <w:rPr>
          <w:rFonts w:cs="Times New Roman"/>
          <w:szCs w:val="24"/>
        </w:rPr>
        <w:t>nternational trade in tertiary education and increasingly vocational education and training services have seen significant expansion during last decades, also relating to internationalisation and mobility of students</w:t>
      </w:r>
      <w:r w:rsidR="009F5A43" w:rsidRPr="003C528A">
        <w:rPr>
          <w:rStyle w:val="FootnoteReference"/>
          <w:rFonts w:cs="Times New Roman"/>
          <w:szCs w:val="24"/>
        </w:rPr>
        <w:footnoteReference w:id="25"/>
      </w:r>
      <w:r w:rsidR="009F5A43" w:rsidRPr="003C528A">
        <w:rPr>
          <w:rFonts w:cs="Times New Roman"/>
          <w:szCs w:val="24"/>
          <w:vertAlign w:val="superscript"/>
        </w:rPr>
        <w:t xml:space="preserve">, </w:t>
      </w:r>
      <w:r w:rsidR="009F5A43" w:rsidRPr="003C528A">
        <w:rPr>
          <w:rStyle w:val="FootnoteReference"/>
          <w:rFonts w:cs="Times New Roman"/>
          <w:szCs w:val="24"/>
        </w:rPr>
        <w:footnoteReference w:id="26"/>
      </w:r>
      <w:r w:rsidR="009F5A43" w:rsidRPr="003C528A">
        <w:rPr>
          <w:rFonts w:cs="Times New Roman"/>
          <w:szCs w:val="24"/>
        </w:rPr>
        <w:t>. Furthermore, the growth of MOOCs/e-learning platforms, often based outside Europe, saw rapid expansion in providing their services across borders in recent years. To benefit from these trends, improving access to financing and advisory support could be provided to assist European organisations to grow and internationalise – both within and outside Europe.</w:t>
      </w:r>
    </w:p>
    <w:p w14:paraId="7A0B137B" w14:textId="77777777" w:rsidR="009F5A43" w:rsidRPr="003C528A" w:rsidRDefault="009F5A43" w:rsidP="009F5A43">
      <w:pPr>
        <w:pStyle w:val="ListParagraph"/>
        <w:numPr>
          <w:ilvl w:val="0"/>
          <w:numId w:val="35"/>
        </w:numPr>
        <w:spacing w:after="160" w:line="259" w:lineRule="auto"/>
        <w:ind w:left="567"/>
        <w:rPr>
          <w:rStyle w:val="SubtleEmphasis"/>
          <w:rFonts w:eastAsiaTheme="minorEastAsia"/>
          <w:spacing w:val="15"/>
        </w:rPr>
      </w:pPr>
      <w:r w:rsidRPr="003C528A">
        <w:rPr>
          <w:rStyle w:val="SubtleEmphasis"/>
          <w:rFonts w:eastAsiaTheme="minorEastAsia"/>
          <w:spacing w:val="15"/>
        </w:rPr>
        <w:t xml:space="preserve">Employee training </w:t>
      </w:r>
    </w:p>
    <w:p w14:paraId="15F747C4" w14:textId="77777777" w:rsidR="009F5A43" w:rsidRPr="003C528A" w:rsidRDefault="009F5A43" w:rsidP="009F5A43">
      <w:pPr>
        <w:autoSpaceDE w:val="0"/>
        <w:autoSpaceDN w:val="0"/>
        <w:adjustRightInd w:val="0"/>
        <w:rPr>
          <w:rFonts w:cs="Times New Roman"/>
          <w:b/>
          <w:szCs w:val="24"/>
        </w:rPr>
      </w:pPr>
      <w:r w:rsidRPr="003C528A">
        <w:rPr>
          <w:rFonts w:cs="Times New Roman"/>
          <w:szCs w:val="24"/>
        </w:rPr>
        <w:t xml:space="preserve">The objective is to incentivise implementing partners and other financial intermediaries to extend loan facilities to eligible organisations or projects, with a particular focus on SMEs, with the aim of </w:t>
      </w:r>
      <w:r w:rsidRPr="003C528A">
        <w:rPr>
          <w:rFonts w:cs="Times New Roman"/>
          <w:b/>
          <w:szCs w:val="24"/>
        </w:rPr>
        <w:t xml:space="preserve">stimulating investment in the education and training of their workforce to develop firm-specific human capital. </w:t>
      </w:r>
    </w:p>
    <w:p w14:paraId="4A88DFA0" w14:textId="0E3977E2" w:rsidR="009F5A43" w:rsidRPr="003C528A" w:rsidRDefault="009F5A43" w:rsidP="009F5A43">
      <w:pPr>
        <w:autoSpaceDE w:val="0"/>
        <w:autoSpaceDN w:val="0"/>
        <w:adjustRightInd w:val="0"/>
        <w:spacing w:after="240"/>
        <w:rPr>
          <w:rFonts w:cs="Times New Roman"/>
          <w:szCs w:val="24"/>
        </w:rPr>
      </w:pPr>
      <w:r w:rsidRPr="003C528A">
        <w:rPr>
          <w:rFonts w:cs="Times New Roman"/>
          <w:szCs w:val="24"/>
        </w:rPr>
        <w:t xml:space="preserve">Future growth in advanced economies is assumed to be dependent on productivity-raising innovation and investment in intangible assets, particularly firm-led training. Intangible assets appear to have in common characteristics </w:t>
      </w:r>
      <w:r w:rsidR="00EC38C7" w:rsidRPr="003C528A">
        <w:rPr>
          <w:rFonts w:cs="Times New Roman"/>
          <w:szCs w:val="24"/>
        </w:rPr>
        <w:t>that</w:t>
      </w:r>
      <w:r w:rsidRPr="003C528A">
        <w:rPr>
          <w:rFonts w:cs="Times New Roman"/>
          <w:szCs w:val="24"/>
        </w:rPr>
        <w:t xml:space="preserve"> give rise to the assumption that intangible assets investments (such as R&amp;D and training) systematically remain below a socio-economically optimal level, thus justifying policy intervention</w:t>
      </w:r>
      <w:r w:rsidRPr="003C528A">
        <w:rPr>
          <w:rStyle w:val="FootnoteReference"/>
          <w:rFonts w:eastAsia="Times New Roman" w:cs="Times New Roman"/>
          <w:szCs w:val="24"/>
          <w:lang w:eastAsia="en-GB"/>
        </w:rPr>
        <w:footnoteReference w:id="27"/>
      </w:r>
      <w:r w:rsidRPr="003C528A">
        <w:rPr>
          <w:rFonts w:cs="Times New Roman"/>
          <w:szCs w:val="24"/>
        </w:rPr>
        <w:t>. Recent research show</w:t>
      </w:r>
      <w:r w:rsidR="00EC38C7" w:rsidRPr="003C528A">
        <w:rPr>
          <w:rFonts w:cs="Times New Roman"/>
          <w:szCs w:val="24"/>
        </w:rPr>
        <w:t>s</w:t>
      </w:r>
      <w:r w:rsidRPr="003C528A">
        <w:rPr>
          <w:rFonts w:cs="Times New Roman"/>
          <w:szCs w:val="24"/>
        </w:rPr>
        <w:t xml:space="preserve"> intangible assets investment is lagging in the EU as compared to US</w:t>
      </w:r>
      <w:r w:rsidRPr="003C528A">
        <w:rPr>
          <w:rStyle w:val="FootnoteReference"/>
          <w:rFonts w:cs="Times New Roman"/>
          <w:szCs w:val="24"/>
        </w:rPr>
        <w:footnoteReference w:id="28"/>
      </w:r>
      <w:r w:rsidRPr="003C528A">
        <w:rPr>
          <w:rFonts w:cs="Times New Roman"/>
          <w:szCs w:val="24"/>
        </w:rPr>
        <w:t>.</w:t>
      </w:r>
    </w:p>
    <w:p w14:paraId="7FF7EA84" w14:textId="77777777" w:rsidR="009F5A43" w:rsidRPr="003C528A" w:rsidRDefault="009F5A43" w:rsidP="009F5A43">
      <w:pPr>
        <w:spacing w:after="240"/>
        <w:rPr>
          <w:rFonts w:cs="Times New Roman"/>
          <w:szCs w:val="24"/>
        </w:rPr>
      </w:pPr>
      <w:r w:rsidRPr="003C528A">
        <w:rPr>
          <w:rFonts w:cs="Times New Roman"/>
          <w:szCs w:val="24"/>
        </w:rPr>
        <w:t>Based on the Continuing Vocational Training Survey</w:t>
      </w:r>
      <w:r w:rsidRPr="003C528A">
        <w:rPr>
          <w:rStyle w:val="FootnoteReference"/>
          <w:rFonts w:cs="Times New Roman"/>
          <w:szCs w:val="24"/>
        </w:rPr>
        <w:footnoteReference w:id="29"/>
      </w:r>
      <w:r w:rsidRPr="003C528A">
        <w:rPr>
          <w:rFonts w:cs="Times New Roman"/>
          <w:szCs w:val="24"/>
        </w:rPr>
        <w:t>, 2015 and Labour Cost survey</w:t>
      </w:r>
      <w:r w:rsidRPr="003C528A">
        <w:rPr>
          <w:rStyle w:val="FootnoteReference"/>
          <w:rFonts w:cs="Times New Roman"/>
          <w:szCs w:val="24"/>
        </w:rPr>
        <w:footnoteReference w:id="30"/>
      </w:r>
      <w:r w:rsidRPr="003C528A">
        <w:rPr>
          <w:rFonts w:cs="Times New Roman"/>
          <w:szCs w:val="24"/>
        </w:rPr>
        <w:t xml:space="preserve"> 2012, annual company expenditure on training is around 80 billion EUR/year (more detailed analysis available also in Commission analytical publications</w:t>
      </w:r>
      <w:r w:rsidRPr="003C528A">
        <w:rPr>
          <w:rStyle w:val="FootnoteReference"/>
          <w:rFonts w:cs="Times New Roman"/>
          <w:szCs w:val="24"/>
        </w:rPr>
        <w:footnoteReference w:id="31"/>
      </w:r>
      <w:r w:rsidRPr="003C528A">
        <w:rPr>
          <w:rFonts w:cs="Times New Roman"/>
          <w:szCs w:val="24"/>
        </w:rPr>
        <w:t xml:space="preserve">). DG GROW, in its access to finance survey "SAFE", identifies that around 15% of SMEs report to be seeking external finance for hiring and training employees. </w:t>
      </w:r>
    </w:p>
    <w:p w14:paraId="64ECD1A5" w14:textId="77777777" w:rsidR="009F5A43" w:rsidRPr="003C528A" w:rsidRDefault="009F5A43" w:rsidP="009F5A43">
      <w:pPr>
        <w:spacing w:after="120"/>
        <w:rPr>
          <w:rFonts w:cs="Times New Roman"/>
          <w:b/>
          <w:szCs w:val="24"/>
        </w:rPr>
      </w:pPr>
      <w:r w:rsidRPr="003C528A">
        <w:rPr>
          <w:rFonts w:cs="Times New Roman"/>
          <w:szCs w:val="24"/>
        </w:rPr>
        <w:lastRenderedPageBreak/>
        <w:t>The estimated level of adults' participation in education and training in the US is around 50% higher than in the EU. This EU-US differential translates into a funding gap of around EUR 20bn in the EU (or 50% of the estimated current company spending on training standing at around 1.5% of total labour costs</w:t>
      </w:r>
      <w:r w:rsidRPr="003C528A">
        <w:rPr>
          <w:rStyle w:val="FootnoteReference"/>
          <w:rFonts w:cs="Times New Roman"/>
          <w:szCs w:val="24"/>
        </w:rPr>
        <w:footnoteReference w:id="32"/>
      </w:r>
      <w:r w:rsidRPr="003C528A">
        <w:rPr>
          <w:rFonts w:cs="Times New Roman"/>
          <w:szCs w:val="24"/>
        </w:rPr>
        <w:t xml:space="preserve"> or EUR 45bn in the EU). </w:t>
      </w:r>
    </w:p>
    <w:p w14:paraId="6C33A558" w14:textId="77777777" w:rsidR="009F5A43" w:rsidRPr="003C528A" w:rsidRDefault="009F5A43" w:rsidP="009F5A43">
      <w:pPr>
        <w:spacing w:after="120"/>
        <w:rPr>
          <w:rFonts w:cs="Times New Roman"/>
          <w:b/>
          <w:szCs w:val="24"/>
        </w:rPr>
      </w:pPr>
      <w:r w:rsidRPr="003C528A">
        <w:rPr>
          <w:rFonts w:cs="Times New Roman"/>
          <w:szCs w:val="24"/>
        </w:rPr>
        <w:t>Furthermore, market failures for investment in skills and knowledge capital required for economic change are related to company size. Big employers provide training opportunities on average for half of their employees while small employers provide it for only a quarter of employees. It is even more difficult for micro-enterprises to invest in training.</w:t>
      </w:r>
    </w:p>
    <w:p w14:paraId="145B0B38" w14:textId="77777777" w:rsidR="009F5A43" w:rsidRPr="003C528A" w:rsidRDefault="009F5A43" w:rsidP="009F5A43">
      <w:pPr>
        <w:pStyle w:val="ListParagraph"/>
        <w:numPr>
          <w:ilvl w:val="0"/>
          <w:numId w:val="35"/>
        </w:numPr>
        <w:spacing w:after="160" w:line="259" w:lineRule="auto"/>
        <w:ind w:left="567"/>
        <w:rPr>
          <w:rStyle w:val="SubtleEmphasis"/>
          <w:rFonts w:eastAsiaTheme="minorEastAsia"/>
          <w:spacing w:val="15"/>
        </w:rPr>
      </w:pPr>
      <w:r w:rsidRPr="003C528A">
        <w:rPr>
          <w:rStyle w:val="SubtleEmphasis"/>
          <w:rFonts w:eastAsiaTheme="minorEastAsia"/>
          <w:spacing w:val="15"/>
        </w:rPr>
        <w:t>Apprenticeships</w:t>
      </w:r>
      <w:r w:rsidRPr="003C528A">
        <w:rPr>
          <w:rStyle w:val="SubtleEmphasis"/>
          <w:rFonts w:eastAsiaTheme="minorEastAsia"/>
          <w:spacing w:val="15"/>
          <w:vertAlign w:val="superscript"/>
        </w:rPr>
        <w:footnoteReference w:id="33"/>
      </w:r>
      <w:r w:rsidRPr="003C528A">
        <w:rPr>
          <w:rStyle w:val="SubtleEmphasis"/>
          <w:rFonts w:eastAsiaTheme="minorEastAsia"/>
          <w:spacing w:val="15"/>
          <w:vertAlign w:val="superscript"/>
        </w:rPr>
        <w:t xml:space="preserve"> </w:t>
      </w:r>
    </w:p>
    <w:p w14:paraId="03CA2CB4"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 xml:space="preserve">The objective is to incentivize implementing partners and other financial intermediaries to extend loan facilities to eligible organisations or projects, with the aim of </w:t>
      </w:r>
      <w:r w:rsidRPr="003C528A">
        <w:rPr>
          <w:rFonts w:cs="Times New Roman"/>
          <w:b/>
          <w:szCs w:val="24"/>
        </w:rPr>
        <w:t xml:space="preserve">stimulating company engagement in and capacity of the provision of initial education and training (apprenticeship) opportunities. </w:t>
      </w:r>
      <w:r w:rsidRPr="003C528A">
        <w:rPr>
          <w:rFonts w:cs="Times New Roman"/>
          <w:szCs w:val="24"/>
        </w:rPr>
        <w:t xml:space="preserve">This would enable more companies to include apprenticeships and their better use as a way to develop qualified pool of employees in their HR sourcing strategies. </w:t>
      </w:r>
    </w:p>
    <w:p w14:paraId="7E21A232"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Annual company expenditure on apprenticeships and traineeships is around 30 billion EUR/year, or around 1% of their annual labour costs</w:t>
      </w:r>
      <w:r w:rsidRPr="003C528A">
        <w:rPr>
          <w:rStyle w:val="FootnoteReference"/>
          <w:rFonts w:cs="Times New Roman"/>
          <w:szCs w:val="24"/>
        </w:rPr>
        <w:footnoteReference w:id="34"/>
      </w:r>
      <w:r w:rsidRPr="003C528A">
        <w:rPr>
          <w:rFonts w:cs="Times New Roman"/>
          <w:szCs w:val="24"/>
        </w:rPr>
        <w:t xml:space="preserve"> ,  with significant differences across Member States (Germany contributes around 50% of all EU company spending on apprenticeships). Furthermore, there are significant differences in the extent to which companies engage in providing initial education and training opportunities depending on company size. Small companies find it particularly difficult to hire apprentices due to cost and other considerations (OECD, 2017</w:t>
      </w:r>
      <w:r w:rsidRPr="003C528A">
        <w:rPr>
          <w:rStyle w:val="FootnoteReference"/>
          <w:rFonts w:cs="Times New Roman"/>
          <w:szCs w:val="24"/>
        </w:rPr>
        <w:footnoteReference w:id="35"/>
      </w:r>
      <w:r w:rsidRPr="003C528A">
        <w:rPr>
          <w:rFonts w:cs="Times New Roman"/>
          <w:szCs w:val="24"/>
          <w:vertAlign w:val="superscript"/>
        </w:rPr>
        <w:t xml:space="preserve">, </w:t>
      </w:r>
      <w:r w:rsidRPr="003C528A">
        <w:rPr>
          <w:rStyle w:val="FootnoteReference"/>
          <w:rFonts w:cs="Times New Roman"/>
          <w:szCs w:val="24"/>
        </w:rPr>
        <w:footnoteReference w:id="36"/>
      </w:r>
      <w:r w:rsidRPr="003C528A">
        <w:rPr>
          <w:rFonts w:cs="Times New Roman"/>
          <w:szCs w:val="24"/>
        </w:rPr>
        <w:t>).</w:t>
      </w:r>
    </w:p>
    <w:p w14:paraId="6B5849D4"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Employers are only likely to offer apprenticeships if there are net benefits to them, as a balance between the costs incurred in the mix of short term and long-term benefits</w:t>
      </w:r>
      <w:r w:rsidRPr="003C528A">
        <w:rPr>
          <w:rStyle w:val="FootnoteReference"/>
          <w:rFonts w:cs="Times New Roman"/>
          <w:szCs w:val="24"/>
        </w:rPr>
        <w:footnoteReference w:id="37"/>
      </w:r>
      <w:r w:rsidRPr="003C528A">
        <w:rPr>
          <w:rFonts w:cs="Times New Roman"/>
          <w:szCs w:val="24"/>
        </w:rPr>
        <w:t xml:space="preserve">. However, in many countries employers are often not able to recoup the full costs of engaging in apprenticeships and therefore engage in providing less than would be optimal from social point of view. </w:t>
      </w:r>
    </w:p>
    <w:p w14:paraId="351538FC" w14:textId="77777777" w:rsidR="009F5A43" w:rsidRPr="003C528A" w:rsidRDefault="009F5A43" w:rsidP="009F5A43">
      <w:pPr>
        <w:pStyle w:val="ListParagraph"/>
        <w:numPr>
          <w:ilvl w:val="0"/>
          <w:numId w:val="35"/>
        </w:numPr>
        <w:spacing w:after="160" w:line="259" w:lineRule="auto"/>
        <w:ind w:left="567"/>
        <w:rPr>
          <w:rStyle w:val="SubtleEmphasis"/>
          <w:rFonts w:eastAsiaTheme="minorEastAsia"/>
          <w:spacing w:val="15"/>
        </w:rPr>
      </w:pPr>
      <w:r w:rsidRPr="003C528A">
        <w:rPr>
          <w:rStyle w:val="SubtleEmphasis"/>
          <w:rFonts w:eastAsiaTheme="minorEastAsia"/>
          <w:spacing w:val="15"/>
        </w:rPr>
        <w:t>Supporting skills-intensive business models</w:t>
      </w:r>
    </w:p>
    <w:p w14:paraId="0A37F5D7" w14:textId="77777777" w:rsidR="009F5A43" w:rsidRPr="003C528A" w:rsidRDefault="009F5A43" w:rsidP="009F5A43">
      <w:pPr>
        <w:autoSpaceDE w:val="0"/>
        <w:autoSpaceDN w:val="0"/>
        <w:adjustRightInd w:val="0"/>
        <w:rPr>
          <w:rFonts w:cs="Times New Roman"/>
          <w:b/>
          <w:szCs w:val="24"/>
        </w:rPr>
      </w:pPr>
      <w:r w:rsidRPr="003C528A">
        <w:rPr>
          <w:rFonts w:cs="Times New Roman"/>
          <w:szCs w:val="24"/>
        </w:rPr>
        <w:t>The objective is to incentivise implementing partners and other financial intermediaries to extend loan facilities to eligible organisations or projects, with the aim of</w:t>
      </w:r>
      <w:r w:rsidRPr="003C528A">
        <w:rPr>
          <w:rFonts w:cs="Times New Roman"/>
          <w:b/>
          <w:szCs w:val="24"/>
        </w:rPr>
        <w:t xml:space="preserve"> stimulating company investment in and adoption of skills intensive business models, technologies, production and service provision process and work organisation practices that would </w:t>
      </w:r>
      <w:r w:rsidRPr="003C528A">
        <w:rPr>
          <w:rFonts w:cs="Times New Roman"/>
          <w:b/>
          <w:szCs w:val="24"/>
        </w:rPr>
        <w:lastRenderedPageBreak/>
        <w:t xml:space="preserve">increase the demand for and use of skills. </w:t>
      </w:r>
      <w:r w:rsidRPr="003C528A">
        <w:rPr>
          <w:rFonts w:cs="Times New Roman"/>
          <w:szCs w:val="24"/>
        </w:rPr>
        <w:t xml:space="preserve">This would strengthen the capability for SMEs to make best use of the available human capital they possess, provide high-quality and high-value products to the market, improve the quality and attractiveness of workplace and overall enhance their productivity and competitiveness. </w:t>
      </w:r>
    </w:p>
    <w:p w14:paraId="1FDEE7DD" w14:textId="6A45FD0E" w:rsidR="009F5A43" w:rsidRPr="003C528A" w:rsidRDefault="009F5A43" w:rsidP="009F5A43">
      <w:pPr>
        <w:spacing w:after="240"/>
        <w:rPr>
          <w:rFonts w:cs="Times New Roman"/>
          <w:szCs w:val="24"/>
        </w:rPr>
      </w:pPr>
      <w:r w:rsidRPr="003C528A">
        <w:rPr>
          <w:rFonts w:cs="Times New Roman"/>
          <w:szCs w:val="24"/>
        </w:rPr>
        <w:t>Facilitating a healthy demand for skills and upgrading business process towards skills-intensive business models is the only long-term guarantee for a sustainable employment. Furthermore, it helps ensure good skills utilisation as well as avoiding the risks of over</w:t>
      </w:r>
      <w:r w:rsidR="00A7627C" w:rsidRPr="003C528A">
        <w:rPr>
          <w:rFonts w:cs="Times New Roman"/>
          <w:szCs w:val="24"/>
        </w:rPr>
        <w:t>-</w:t>
      </w:r>
      <w:r w:rsidRPr="003C528A">
        <w:rPr>
          <w:rFonts w:cs="Times New Roman"/>
          <w:szCs w:val="24"/>
        </w:rPr>
        <w:t xml:space="preserve">skilling. </w:t>
      </w:r>
    </w:p>
    <w:p w14:paraId="4571C9F3"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There is still lack of both awareness and incentives, especially among SMEs, how to develop work organisation processes that ensure better utilisation of the skills of employees. While large companies frequently have the resources to experiment and implement those, for other companies this is often not feasible, even despite clear evidence on the benefits of learning conducive workplaces (CEDEFOP, 2012</w:t>
      </w:r>
      <w:r w:rsidRPr="003C528A">
        <w:rPr>
          <w:rStyle w:val="FootnoteReference"/>
          <w:rFonts w:cs="Times New Roman"/>
          <w:szCs w:val="24"/>
        </w:rPr>
        <w:footnoteReference w:id="38"/>
      </w:r>
      <w:r w:rsidRPr="003C528A">
        <w:rPr>
          <w:rFonts w:cs="Times New Roman"/>
          <w:szCs w:val="24"/>
        </w:rPr>
        <w:t>) and high-performance work practices (OECD, 2017</w:t>
      </w:r>
      <w:r w:rsidRPr="003C528A">
        <w:rPr>
          <w:rStyle w:val="FootnoteReference"/>
          <w:rFonts w:cs="Times New Roman"/>
          <w:szCs w:val="24"/>
        </w:rPr>
        <w:footnoteReference w:id="39"/>
      </w:r>
      <w:r w:rsidRPr="003C528A">
        <w:rPr>
          <w:rFonts w:cs="Times New Roman"/>
          <w:szCs w:val="24"/>
        </w:rPr>
        <w:t>).</w:t>
      </w:r>
    </w:p>
    <w:p w14:paraId="395D3FC0" w14:textId="77777777" w:rsidR="009F5A43" w:rsidRPr="003C528A" w:rsidRDefault="009F5A43" w:rsidP="009F5A43">
      <w:pPr>
        <w:pStyle w:val="ListParagraph"/>
        <w:numPr>
          <w:ilvl w:val="0"/>
          <w:numId w:val="35"/>
        </w:numPr>
        <w:spacing w:after="160" w:line="259" w:lineRule="auto"/>
        <w:ind w:left="567"/>
        <w:rPr>
          <w:rStyle w:val="SubtleEmphasis"/>
          <w:rFonts w:eastAsiaTheme="minorEastAsia"/>
          <w:spacing w:val="15"/>
        </w:rPr>
      </w:pPr>
      <w:r w:rsidRPr="003C528A">
        <w:rPr>
          <w:rStyle w:val="SubtleEmphasis"/>
          <w:rFonts w:eastAsiaTheme="minorEastAsia"/>
          <w:spacing w:val="15"/>
        </w:rPr>
        <w:t xml:space="preserve">Hiring, training and support for vulnerable persons </w:t>
      </w:r>
    </w:p>
    <w:p w14:paraId="496385BC" w14:textId="4DB8DD70" w:rsidR="009F5A43" w:rsidRPr="003C528A" w:rsidRDefault="009F5A43" w:rsidP="009F5A43">
      <w:pPr>
        <w:autoSpaceDE w:val="0"/>
        <w:autoSpaceDN w:val="0"/>
        <w:adjustRightInd w:val="0"/>
        <w:rPr>
          <w:rFonts w:cs="Times New Roman"/>
          <w:szCs w:val="24"/>
        </w:rPr>
      </w:pPr>
      <w:r w:rsidRPr="003C528A">
        <w:rPr>
          <w:rFonts w:cs="Times New Roman"/>
          <w:szCs w:val="24"/>
        </w:rPr>
        <w:t>The objective</w:t>
      </w:r>
      <w:r w:rsidRPr="003C528A">
        <w:rPr>
          <w:rFonts w:cs="Times New Roman"/>
          <w:b/>
          <w:szCs w:val="24"/>
          <w:u w:val="single"/>
        </w:rPr>
        <w:t xml:space="preserve"> </w:t>
      </w:r>
      <w:r w:rsidRPr="003C528A">
        <w:rPr>
          <w:rFonts w:cs="Times New Roman"/>
          <w:szCs w:val="24"/>
        </w:rPr>
        <w:t>is to incentivize implementing partners and other financial intermediaries to extend loan facilities to eligible organisations or projects, with the aim of</w:t>
      </w:r>
      <w:r w:rsidRPr="003C528A">
        <w:rPr>
          <w:rFonts w:cs="Times New Roman"/>
          <w:b/>
          <w:szCs w:val="24"/>
        </w:rPr>
        <w:t xml:space="preserve"> stimulating companies’ capability to access and benefit from a productive contribution of vulnerable persons (including those with disabilities). </w:t>
      </w:r>
      <w:r w:rsidRPr="003C528A">
        <w:rPr>
          <w:rFonts w:cs="Times New Roman"/>
          <w:szCs w:val="24"/>
        </w:rPr>
        <w:t xml:space="preserve">This would on the one hand enlarge the pool of qualified labour available for companies and on the other would stimulate the employability and improve the skills of vulnerable persons. </w:t>
      </w:r>
    </w:p>
    <w:p w14:paraId="0A0E6719"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Young and adult persons at risk of economic or social exclusion are often disadvantaged in the labour market; they also often have skills gaps, precluding them from accessing good quality and sustainable employment opportunities. At the same time, companies also often are not interested in hiring people with skills gaps and other difficulties, in part also due to additional costs related to training, retention in employment or their lower productivity (OECD, 2016</w:t>
      </w:r>
      <w:r w:rsidRPr="003C528A">
        <w:rPr>
          <w:rStyle w:val="FootnoteReference"/>
          <w:rFonts w:cs="Times New Roman"/>
          <w:szCs w:val="24"/>
        </w:rPr>
        <w:footnoteReference w:id="40"/>
      </w:r>
      <w:r w:rsidRPr="003C528A">
        <w:rPr>
          <w:rFonts w:cs="Times New Roman"/>
          <w:szCs w:val="24"/>
        </w:rPr>
        <w:t>).</w:t>
      </w:r>
    </w:p>
    <w:p w14:paraId="6595EFD7"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 xml:space="preserve">Companies, working at disadvantaged or depopulated locations often face limitations in the pool of potential workers they could hired. Extending and making best use of the workforce available locally would help enhance the pool of workers as well as contribute to retaining cohesion and competitiveness of disadvantaged and depopulated locations. </w:t>
      </w:r>
    </w:p>
    <w:p w14:paraId="441EE911"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 xml:space="preserve">To address the sustainable employment challenges of people at risk, integrated skills development and employment support measures are also often needed, including blended </w:t>
      </w:r>
      <w:r w:rsidRPr="003C528A">
        <w:rPr>
          <w:rFonts w:cs="Times New Roman"/>
          <w:szCs w:val="24"/>
        </w:rPr>
        <w:lastRenderedPageBreak/>
        <w:t>measures (combining debt and grant instruments) to address the more substantial training and other needs of people at risk.</w:t>
      </w:r>
    </w:p>
    <w:p w14:paraId="70E00278" w14:textId="0B734D99" w:rsidR="009F5A43" w:rsidRPr="003C528A" w:rsidRDefault="009F5A43" w:rsidP="009F5A43">
      <w:pPr>
        <w:pStyle w:val="ListParagraph"/>
        <w:numPr>
          <w:ilvl w:val="0"/>
          <w:numId w:val="35"/>
        </w:numPr>
        <w:spacing w:after="160" w:line="259" w:lineRule="auto"/>
        <w:ind w:left="567"/>
        <w:rPr>
          <w:rStyle w:val="SubtleEmphasis"/>
          <w:rFonts w:eastAsiaTheme="minorEastAsia"/>
          <w:spacing w:val="15"/>
        </w:rPr>
      </w:pPr>
      <w:r w:rsidRPr="003C528A">
        <w:rPr>
          <w:rStyle w:val="SubtleEmphasis"/>
          <w:rFonts w:eastAsiaTheme="minorEastAsia"/>
          <w:spacing w:val="15"/>
        </w:rPr>
        <w:t xml:space="preserve">Investment platforms and PPPs </w:t>
      </w:r>
      <w:r w:rsidRPr="003C528A">
        <w:rPr>
          <w:rStyle w:val="SubtleEmphasis"/>
          <w:rFonts w:eastAsiaTheme="minorEastAsia"/>
          <w:spacing w:val="15"/>
          <w:vertAlign w:val="superscript"/>
        </w:rPr>
        <w:footnoteReference w:id="41"/>
      </w:r>
    </w:p>
    <w:p w14:paraId="5CCBB8DE" w14:textId="77777777" w:rsidR="009F5A43" w:rsidRPr="003C528A" w:rsidRDefault="009F5A43" w:rsidP="009F5A43">
      <w:pPr>
        <w:rPr>
          <w:rFonts w:cs="Times New Roman"/>
          <w:szCs w:val="24"/>
        </w:rPr>
      </w:pPr>
      <w:r w:rsidRPr="003C528A">
        <w:rPr>
          <w:rFonts w:cs="Times New Roman"/>
          <w:szCs w:val="24"/>
        </w:rPr>
        <w:t>The objective is to incentivize implementing partners and other financial intermediaries to extend debt and/or equity finance to eligible organisations or projects, with the aim of stimulating the development of investment platforms and public-private partnerships in the area of education and skills and related services (e.g. early childhood education, student housing, accessibility measures, etc.).</w:t>
      </w:r>
    </w:p>
    <w:p w14:paraId="0E7FFF7B" w14:textId="77777777" w:rsidR="009F5A43" w:rsidRPr="003C528A" w:rsidRDefault="009F5A43" w:rsidP="009F5A43">
      <w:pPr>
        <w:rPr>
          <w:rFonts w:cs="Times New Roman"/>
          <w:szCs w:val="24"/>
          <w:lang w:val="en-IE"/>
        </w:rPr>
      </w:pPr>
      <w:r w:rsidRPr="003C528A">
        <w:rPr>
          <w:rFonts w:cs="Times New Roman"/>
          <w:szCs w:val="24"/>
          <w:lang w:val="en-IE"/>
        </w:rPr>
        <w:t xml:space="preserve">Investment platforms and PPPs have the objective of mobilising funds from the public, social and private sectors to finance smaller projects to enable diversified investments with a geographic or thematic focus. The small scale and often fragmented nature of interventions related to skills, makes investment platforms a promising instrument since they pool relevant projects. In view of the lack of maturity of investment platforms and weak institutional capacity in some Member States in the area of skills investments, it is also necessary to compliment financing with support in terms of advice. </w:t>
      </w:r>
    </w:p>
    <w:p w14:paraId="5F78DB90" w14:textId="77777777" w:rsidR="009F5A43" w:rsidRPr="003C528A" w:rsidRDefault="009F5A43" w:rsidP="009F5A43">
      <w:pPr>
        <w:rPr>
          <w:rFonts w:cs="Times New Roman"/>
          <w:szCs w:val="24"/>
        </w:rPr>
      </w:pPr>
      <w:r w:rsidRPr="003C528A">
        <w:rPr>
          <w:rFonts w:cs="Times New Roman"/>
          <w:szCs w:val="24"/>
        </w:rPr>
        <w:t>Financing of public-private partnerships has a long track record, particularly in the field of infrastructure</w:t>
      </w:r>
      <w:r w:rsidRPr="003C528A">
        <w:rPr>
          <w:rStyle w:val="FootnoteReference"/>
          <w:rFonts w:cs="Times New Roman"/>
          <w:szCs w:val="24"/>
        </w:rPr>
        <w:footnoteReference w:id="42"/>
      </w:r>
      <w:r w:rsidRPr="003C528A">
        <w:rPr>
          <w:rFonts w:cs="Times New Roman"/>
          <w:szCs w:val="24"/>
        </w:rPr>
        <w:t>. Overall, the same principles would also apply to the skills, education, training and related services sector, with some additional specificities including large part of soft (intangible) v/s hard (tangible) investment.</w:t>
      </w:r>
    </w:p>
    <w:p w14:paraId="3A8C00E6" w14:textId="55428C39" w:rsidR="009F5A43" w:rsidRPr="003C528A" w:rsidRDefault="009F5A43" w:rsidP="009F5A43">
      <w:pPr>
        <w:pStyle w:val="ListParagraph"/>
        <w:numPr>
          <w:ilvl w:val="0"/>
          <w:numId w:val="35"/>
        </w:numPr>
        <w:spacing w:after="160" w:line="259" w:lineRule="auto"/>
        <w:ind w:left="567"/>
        <w:rPr>
          <w:rStyle w:val="SubtleEmphasis"/>
          <w:rFonts w:eastAsiaTheme="minorEastAsia"/>
          <w:spacing w:val="15"/>
        </w:rPr>
      </w:pPr>
      <w:r w:rsidRPr="003C528A">
        <w:rPr>
          <w:rStyle w:val="SubtleEmphasis"/>
          <w:rFonts w:eastAsiaTheme="minorEastAsia"/>
          <w:spacing w:val="15"/>
        </w:rPr>
        <w:t xml:space="preserve">Training funds </w:t>
      </w:r>
      <w:r w:rsidRPr="003C528A">
        <w:rPr>
          <w:rStyle w:val="SubtleEmphasis"/>
          <w:rFonts w:eastAsiaTheme="minorEastAsia"/>
          <w:spacing w:val="15"/>
          <w:vertAlign w:val="superscript"/>
        </w:rPr>
        <w:footnoteReference w:id="43"/>
      </w:r>
    </w:p>
    <w:p w14:paraId="280B4C60"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The objective is to incentivize implementing partners and other financial intermediaries to extend debt and/or equity finance to eligible organisations or projects, with the aim of stimulating the formation of training funds at national, regional or sectoral levels. The financing could cover initial start-up costs and well as initial financing needs before the funds are running at full scale.</w:t>
      </w:r>
    </w:p>
    <w:p w14:paraId="547DCA07" w14:textId="51919818" w:rsidR="009F5A43" w:rsidRPr="003C528A" w:rsidRDefault="009F5A43" w:rsidP="009F5A43">
      <w:pPr>
        <w:rPr>
          <w:rFonts w:cs="Times New Roman"/>
          <w:szCs w:val="24"/>
        </w:rPr>
      </w:pPr>
      <w:r w:rsidRPr="003C528A">
        <w:rPr>
          <w:rFonts w:cs="Times New Roman"/>
          <w:szCs w:val="24"/>
        </w:rPr>
        <w:t>Training funds is an important instrument both in the EU (CEDEFOP, 2008) and internationally (World Bank, 2009) supporting the development of workforce skills. Training funds can serve different purposes (focusing on pre-employment, enterprise training or equity), have variety of objectives and us different financing instruments and sources (and often multiple of those in combination).</w:t>
      </w:r>
    </w:p>
    <w:p w14:paraId="78BC4F7F" w14:textId="77777777" w:rsidR="009F5A43" w:rsidRPr="003C528A" w:rsidRDefault="009F5A43" w:rsidP="009F5A43">
      <w:pPr>
        <w:pStyle w:val="ListParagraph"/>
        <w:numPr>
          <w:ilvl w:val="0"/>
          <w:numId w:val="35"/>
        </w:numPr>
        <w:spacing w:after="160" w:line="259" w:lineRule="auto"/>
        <w:ind w:left="567"/>
        <w:rPr>
          <w:rStyle w:val="SubtleEmphasis"/>
          <w:rFonts w:eastAsiaTheme="minorEastAsia"/>
          <w:spacing w:val="15"/>
        </w:rPr>
      </w:pPr>
      <w:r w:rsidRPr="003C528A">
        <w:rPr>
          <w:rStyle w:val="SubtleEmphasis"/>
          <w:rFonts w:eastAsiaTheme="minorEastAsia"/>
          <w:spacing w:val="15"/>
        </w:rPr>
        <w:t>Individual learning accounts</w:t>
      </w:r>
    </w:p>
    <w:p w14:paraId="6B42BCFC" w14:textId="77777777" w:rsidR="009F5A43" w:rsidRPr="003C528A" w:rsidRDefault="009F5A43" w:rsidP="009F5A43">
      <w:pPr>
        <w:autoSpaceDE w:val="0"/>
        <w:autoSpaceDN w:val="0"/>
        <w:adjustRightInd w:val="0"/>
        <w:rPr>
          <w:rFonts w:cs="Times New Roman"/>
          <w:b/>
          <w:szCs w:val="24"/>
        </w:rPr>
      </w:pPr>
      <w:r w:rsidRPr="003C528A">
        <w:rPr>
          <w:rFonts w:cs="Times New Roman"/>
          <w:szCs w:val="24"/>
        </w:rPr>
        <w:lastRenderedPageBreak/>
        <w:t>The objective is to incentivize implementing partners and other financial intermediaries to extend debt and/or equity finance</w:t>
      </w:r>
      <w:r w:rsidRPr="003C528A">
        <w:rPr>
          <w:rFonts w:cs="Times New Roman"/>
          <w:b/>
          <w:szCs w:val="24"/>
        </w:rPr>
        <w:t xml:space="preserve"> </w:t>
      </w:r>
      <w:r w:rsidRPr="003C528A">
        <w:rPr>
          <w:rFonts w:cs="Times New Roman"/>
          <w:szCs w:val="24"/>
        </w:rPr>
        <w:t xml:space="preserve">to eligible organisations or projects in EU Member States, supporting the expansion of </w:t>
      </w:r>
      <w:r w:rsidRPr="003C528A">
        <w:rPr>
          <w:rFonts w:cs="Times New Roman"/>
          <w:b/>
          <w:szCs w:val="24"/>
        </w:rPr>
        <w:t xml:space="preserve">individual learning accounts </w:t>
      </w:r>
      <w:r w:rsidRPr="003C528A">
        <w:rPr>
          <w:rFonts w:cs="Times New Roman"/>
          <w:szCs w:val="24"/>
        </w:rPr>
        <w:t>where those</w:t>
      </w:r>
      <w:r w:rsidRPr="003C528A">
        <w:rPr>
          <w:rFonts w:cs="Times New Roman"/>
          <w:b/>
          <w:szCs w:val="24"/>
        </w:rPr>
        <w:t xml:space="preserve"> </w:t>
      </w:r>
      <w:r w:rsidRPr="003C528A">
        <w:rPr>
          <w:rFonts w:cs="Times New Roman"/>
          <w:szCs w:val="24"/>
        </w:rPr>
        <w:t>exist and/or supporting the set-up of such schemes where none exist</w:t>
      </w:r>
      <w:r w:rsidRPr="003C528A">
        <w:rPr>
          <w:rFonts w:cs="Times New Roman"/>
          <w:b/>
          <w:szCs w:val="24"/>
        </w:rPr>
        <w:t xml:space="preserve">. </w:t>
      </w:r>
      <w:r w:rsidRPr="003C528A">
        <w:rPr>
          <w:rFonts w:cs="Times New Roman"/>
          <w:szCs w:val="24"/>
        </w:rPr>
        <w:t>Individual learning accounts (ILAs) can help stimulate uptake of learning by individuals and sharing of costs between employers and the public sector.</w:t>
      </w:r>
      <w:r w:rsidRPr="003C528A">
        <w:rPr>
          <w:rFonts w:cs="Times New Roman"/>
          <w:b/>
          <w:szCs w:val="24"/>
        </w:rPr>
        <w:t xml:space="preserve"> </w:t>
      </w:r>
    </w:p>
    <w:p w14:paraId="7A590781" w14:textId="77777777" w:rsidR="009F5A43" w:rsidRPr="003C528A" w:rsidRDefault="009F5A43" w:rsidP="009F5A43">
      <w:pPr>
        <w:autoSpaceDE w:val="0"/>
        <w:autoSpaceDN w:val="0"/>
        <w:adjustRightInd w:val="0"/>
        <w:rPr>
          <w:rFonts w:cs="Times New Roman"/>
          <w:szCs w:val="24"/>
        </w:rPr>
      </w:pPr>
      <w:r w:rsidRPr="003C528A">
        <w:rPr>
          <w:rFonts w:cs="Times New Roman"/>
          <w:szCs w:val="24"/>
        </w:rPr>
        <w:t>An ILA is an account managed by individuals to provide a vehicle for funding adult learning.  Similar to a bank account that pays for training and development, ILAs also present a flexible and innovative approach for individuals to take control of their own learning and career development.  By using ILAs, it is possible to shift the focus from a one-time learning event to continuous learning, from required training to strategic workforce development, and incorporate resources for training while balancing work and learning time of individuals.  In addition, an individual can choose what they want to learn, how they want to learn and have the opportunity to gain the skills they need. ILAs are also meant to encourage more individuals to invest financially in their own future, by contributing to their own accounts along with the contributions provided by other entities (employers, public agencies and/or the general government).</w:t>
      </w:r>
    </w:p>
    <w:p w14:paraId="4481D8B9" w14:textId="77777777" w:rsidR="009F5A43" w:rsidRPr="003C528A" w:rsidRDefault="009F5A43" w:rsidP="009F5A43">
      <w:pPr>
        <w:pStyle w:val="ListParagraph"/>
        <w:numPr>
          <w:ilvl w:val="0"/>
          <w:numId w:val="35"/>
        </w:numPr>
        <w:spacing w:after="160" w:line="259" w:lineRule="auto"/>
        <w:ind w:left="567" w:hanging="284"/>
        <w:rPr>
          <w:rStyle w:val="SubtleEmphasis"/>
          <w:rFonts w:eastAsiaTheme="minorEastAsia"/>
          <w:spacing w:val="15"/>
        </w:rPr>
      </w:pPr>
      <w:r w:rsidRPr="003C528A">
        <w:rPr>
          <w:rStyle w:val="SubtleEmphasis"/>
          <w:rFonts w:eastAsiaTheme="minorEastAsia"/>
          <w:spacing w:val="15"/>
        </w:rPr>
        <w:t>Support to individual learners</w:t>
      </w:r>
    </w:p>
    <w:p w14:paraId="44640A99" w14:textId="77777777" w:rsidR="009F5A43" w:rsidRPr="003C528A" w:rsidRDefault="009F5A43" w:rsidP="009F5A43">
      <w:pPr>
        <w:autoSpaceDE w:val="0"/>
        <w:autoSpaceDN w:val="0"/>
        <w:adjustRightInd w:val="0"/>
        <w:rPr>
          <w:rFonts w:cs="Times New Roman"/>
          <w:spacing w:val="-2"/>
          <w:szCs w:val="24"/>
        </w:rPr>
      </w:pPr>
      <w:r w:rsidRPr="003C528A">
        <w:rPr>
          <w:rFonts w:cs="Times New Roman"/>
          <w:szCs w:val="24"/>
        </w:rPr>
        <w:t>The objective is to incentivize implementing partners and other financial intermediaries (incl. education institutions and associations thereof) to provide debt facilities</w:t>
      </w:r>
      <w:r w:rsidRPr="003C528A">
        <w:rPr>
          <w:rFonts w:cs="Times New Roman"/>
          <w:spacing w:val="-2"/>
          <w:szCs w:val="24"/>
        </w:rPr>
        <w:t xml:space="preserve"> to a broad range of individuals pursuing education &amp; training activities:</w:t>
      </w:r>
    </w:p>
    <w:p w14:paraId="4CF75DCF" w14:textId="77777777" w:rsidR="009F5A43" w:rsidRPr="003C528A" w:rsidRDefault="009F5A43" w:rsidP="009F5A43">
      <w:pPr>
        <w:pStyle w:val="ListParagraph"/>
        <w:numPr>
          <w:ilvl w:val="0"/>
          <w:numId w:val="32"/>
        </w:numPr>
        <w:autoSpaceDE w:val="0"/>
        <w:autoSpaceDN w:val="0"/>
        <w:adjustRightInd w:val="0"/>
        <w:spacing w:after="0"/>
        <w:rPr>
          <w:rFonts w:cs="Times New Roman"/>
          <w:color w:val="000000"/>
          <w:szCs w:val="24"/>
        </w:rPr>
      </w:pPr>
      <w:r w:rsidRPr="003C528A">
        <w:rPr>
          <w:rFonts w:cs="Times New Roman"/>
          <w:color w:val="000000"/>
          <w:szCs w:val="24"/>
        </w:rPr>
        <w:t>Higher Education (Bachelor, Master &amp; PhD levels, as well as vocational HE);</w:t>
      </w:r>
    </w:p>
    <w:p w14:paraId="48D699F4" w14:textId="77777777" w:rsidR="009F5A43" w:rsidRPr="003C528A" w:rsidRDefault="009F5A43" w:rsidP="009F5A43">
      <w:pPr>
        <w:pStyle w:val="ListParagraph"/>
        <w:numPr>
          <w:ilvl w:val="0"/>
          <w:numId w:val="32"/>
        </w:numPr>
        <w:autoSpaceDE w:val="0"/>
        <w:autoSpaceDN w:val="0"/>
        <w:adjustRightInd w:val="0"/>
        <w:spacing w:after="0"/>
        <w:rPr>
          <w:rFonts w:cs="Times New Roman"/>
          <w:color w:val="000000"/>
          <w:szCs w:val="24"/>
        </w:rPr>
      </w:pPr>
      <w:r w:rsidRPr="003C528A">
        <w:rPr>
          <w:rFonts w:cs="Times New Roman"/>
          <w:color w:val="000000"/>
          <w:szCs w:val="24"/>
        </w:rPr>
        <w:t>Upper-secondary education, including educational opportunities for adults (migrants; low-qualified adults; etc.)</w:t>
      </w:r>
    </w:p>
    <w:p w14:paraId="6BDCF19E" w14:textId="77777777" w:rsidR="009F5A43" w:rsidRPr="003C528A" w:rsidRDefault="009F5A43" w:rsidP="009F5A43">
      <w:pPr>
        <w:pStyle w:val="ListParagraph"/>
        <w:numPr>
          <w:ilvl w:val="0"/>
          <w:numId w:val="32"/>
        </w:numPr>
        <w:autoSpaceDE w:val="0"/>
        <w:autoSpaceDN w:val="0"/>
        <w:adjustRightInd w:val="0"/>
        <w:spacing w:after="0"/>
        <w:rPr>
          <w:rFonts w:cs="Times New Roman"/>
          <w:color w:val="000000"/>
          <w:szCs w:val="24"/>
        </w:rPr>
      </w:pPr>
      <w:r w:rsidRPr="003C528A">
        <w:rPr>
          <w:rFonts w:cs="Times New Roman"/>
          <w:color w:val="000000"/>
          <w:szCs w:val="24"/>
        </w:rPr>
        <w:t>Vocational education and training, dual &amp; blended learning, incl. traineeships;</w:t>
      </w:r>
    </w:p>
    <w:p w14:paraId="162E1B49" w14:textId="77777777" w:rsidR="009F5A43" w:rsidRPr="003C528A" w:rsidRDefault="009F5A43" w:rsidP="009F5A43">
      <w:pPr>
        <w:pStyle w:val="ListParagraph"/>
        <w:numPr>
          <w:ilvl w:val="0"/>
          <w:numId w:val="32"/>
        </w:numPr>
        <w:autoSpaceDE w:val="0"/>
        <w:autoSpaceDN w:val="0"/>
        <w:adjustRightInd w:val="0"/>
        <w:spacing w:after="0"/>
        <w:rPr>
          <w:rFonts w:cs="Times New Roman"/>
          <w:color w:val="000000"/>
          <w:szCs w:val="24"/>
        </w:rPr>
      </w:pPr>
      <w:r w:rsidRPr="003C528A">
        <w:rPr>
          <w:rFonts w:cs="Times New Roman"/>
          <w:color w:val="000000"/>
          <w:szCs w:val="24"/>
        </w:rPr>
        <w:t>Skills development, continuous &amp; lifelong learning activities;</w:t>
      </w:r>
    </w:p>
    <w:p w14:paraId="01D96DC1" w14:textId="77777777" w:rsidR="009F5A43" w:rsidRPr="003C528A" w:rsidRDefault="009F5A43" w:rsidP="009F5A43">
      <w:pPr>
        <w:pStyle w:val="ListParagraph"/>
        <w:numPr>
          <w:ilvl w:val="0"/>
          <w:numId w:val="32"/>
        </w:numPr>
        <w:autoSpaceDE w:val="0"/>
        <w:autoSpaceDN w:val="0"/>
        <w:adjustRightInd w:val="0"/>
        <w:spacing w:after="0"/>
        <w:rPr>
          <w:rFonts w:cs="Times New Roman"/>
          <w:color w:val="000000"/>
          <w:szCs w:val="24"/>
        </w:rPr>
      </w:pPr>
      <w:r w:rsidRPr="003C528A">
        <w:rPr>
          <w:rFonts w:cs="Times New Roman"/>
          <w:color w:val="000000"/>
          <w:szCs w:val="24"/>
        </w:rPr>
        <w:t>Specific focus on support for transnational mobility;</w:t>
      </w:r>
    </w:p>
    <w:p w14:paraId="0D543B5D" w14:textId="77777777" w:rsidR="009F5A43" w:rsidRPr="003C528A" w:rsidRDefault="009F5A43" w:rsidP="009F5A43">
      <w:pPr>
        <w:pStyle w:val="ListParagraph"/>
        <w:numPr>
          <w:ilvl w:val="0"/>
          <w:numId w:val="32"/>
        </w:numPr>
        <w:autoSpaceDE w:val="0"/>
        <w:autoSpaceDN w:val="0"/>
        <w:adjustRightInd w:val="0"/>
        <w:spacing w:after="0"/>
        <w:rPr>
          <w:rFonts w:cs="Times New Roman"/>
          <w:color w:val="000000"/>
          <w:szCs w:val="24"/>
        </w:rPr>
      </w:pPr>
      <w:r w:rsidRPr="003C528A">
        <w:rPr>
          <w:rFonts w:cs="Times New Roman"/>
          <w:color w:val="000000"/>
          <w:szCs w:val="24"/>
        </w:rPr>
        <w:t>Digital skills</w:t>
      </w:r>
    </w:p>
    <w:p w14:paraId="737625BE" w14:textId="6FDE3A6C" w:rsidR="009F5A43" w:rsidRPr="003C528A" w:rsidRDefault="009F5A43" w:rsidP="009F5A43">
      <w:pPr>
        <w:pStyle w:val="ListParagraph"/>
        <w:numPr>
          <w:ilvl w:val="0"/>
          <w:numId w:val="32"/>
        </w:numPr>
        <w:autoSpaceDE w:val="0"/>
        <w:autoSpaceDN w:val="0"/>
        <w:adjustRightInd w:val="0"/>
        <w:spacing w:after="0"/>
        <w:rPr>
          <w:rFonts w:cs="Times New Roman"/>
          <w:color w:val="000000"/>
          <w:szCs w:val="24"/>
        </w:rPr>
      </w:pPr>
      <w:r w:rsidRPr="003C528A">
        <w:rPr>
          <w:rFonts w:cs="Times New Roman"/>
          <w:color w:val="000000"/>
          <w:szCs w:val="24"/>
        </w:rPr>
        <w:t>Labour market relevant skills</w:t>
      </w:r>
    </w:p>
    <w:p w14:paraId="186070C7" w14:textId="43ADF072" w:rsidR="00A445E1" w:rsidRPr="003C528A" w:rsidRDefault="00A445E1" w:rsidP="00EE08A0">
      <w:pPr>
        <w:pStyle w:val="Heading1"/>
        <w:spacing w:after="240"/>
        <w:ind w:left="431" w:hanging="431"/>
      </w:pPr>
      <w:bookmarkStart w:id="41" w:name="_Toc24726232"/>
      <w:bookmarkStart w:id="42" w:name="_Toc24732655"/>
      <w:bookmarkStart w:id="43" w:name="_Toc24983382"/>
      <w:r w:rsidRPr="003C528A">
        <w:t xml:space="preserve">InvestEU for </w:t>
      </w:r>
      <w:r w:rsidR="00EE08A0" w:rsidRPr="003C528A">
        <w:t>Social Infrastructure and Services</w:t>
      </w:r>
      <w:bookmarkEnd w:id="41"/>
      <w:bookmarkEnd w:id="42"/>
      <w:bookmarkEnd w:id="43"/>
    </w:p>
    <w:p w14:paraId="46D33984" w14:textId="744D5D0C" w:rsidR="00252677" w:rsidRPr="003C528A" w:rsidRDefault="00EE08A0" w:rsidP="00EE08A0">
      <w:pPr>
        <w:pStyle w:val="Heading2"/>
        <w:spacing w:after="120"/>
        <w:ind w:left="578" w:hanging="578"/>
        <w:rPr>
          <w:rFonts w:ascii="Times New Roman" w:hAnsi="Times New Roman" w:cs="Times New Roman"/>
          <w:sz w:val="24"/>
          <w:szCs w:val="24"/>
        </w:rPr>
      </w:pPr>
      <w:bookmarkStart w:id="44" w:name="_Toc24726233"/>
      <w:bookmarkStart w:id="45" w:name="_Toc24732656"/>
      <w:bookmarkStart w:id="46" w:name="_Toc24983383"/>
      <w:r w:rsidRPr="003C528A">
        <w:t>Rationale for supporting investment in social infrastructure and services</w:t>
      </w:r>
      <w:bookmarkEnd w:id="44"/>
      <w:bookmarkEnd w:id="45"/>
      <w:bookmarkEnd w:id="46"/>
    </w:p>
    <w:p w14:paraId="772A44C9" w14:textId="77777777" w:rsidR="00EE08A0" w:rsidRPr="003C528A" w:rsidRDefault="00EE08A0" w:rsidP="00EE08A0">
      <w:r w:rsidRPr="003C528A">
        <w:t>Investment gaps in social infrastructure and services, in particular on sub-national level, are large. Without additional investment boost, these gaps are expected to remain while demand for social infrastructure and services, linked to demographic and socio-economic changes, will grow.</w:t>
      </w:r>
    </w:p>
    <w:p w14:paraId="2B9DD865" w14:textId="77777777" w:rsidR="00EE08A0" w:rsidRPr="003C528A" w:rsidRDefault="00EE08A0" w:rsidP="00EE08A0">
      <w:r w:rsidRPr="003C528A">
        <w:lastRenderedPageBreak/>
        <w:t xml:space="preserve">The European Pillar of Social Rights underscores the right to access quality services for everyone, as well as social housing for those in need. In addition, the Pillar pays attention to the inclusion of persons with disabilities, and their equal right to access services. </w:t>
      </w:r>
    </w:p>
    <w:p w14:paraId="61835A74" w14:textId="77777777" w:rsidR="00EE08A0" w:rsidRPr="003C528A" w:rsidRDefault="00EE08A0" w:rsidP="00EE08A0">
      <w:r w:rsidRPr="003C528A">
        <w:t xml:space="preserve">This product will contribute to the implementation of the Pillar through increasing availability, provision and accessibility of social infrastructure, housing and services on the one hand, and, on the other hand, through safeguarding quality principles.  </w:t>
      </w:r>
    </w:p>
    <w:p w14:paraId="07320416" w14:textId="77777777" w:rsidR="00EE08A0" w:rsidRPr="003C528A" w:rsidRDefault="00EE08A0" w:rsidP="00EE08A0">
      <w:r w:rsidRPr="003C528A">
        <w:t xml:space="preserve">According to the High Level Task Force on Investing in Social Infrastructure in Europe (HLTF), the investment gap in social infrastructure amounts to </w:t>
      </w:r>
      <w:r w:rsidRPr="003C528A">
        <w:rPr>
          <w:b/>
        </w:rPr>
        <w:t>EUR 142 billion</w:t>
      </w:r>
      <w:r w:rsidRPr="003C528A">
        <w:t xml:space="preserve"> on an annual basis (estimated for infrastructure related to selected services). The above investment market gap includes an estimate for certain services, namely: long-term care (excluding disability and migration) at </w:t>
      </w:r>
      <w:r w:rsidRPr="003C528A">
        <w:rPr>
          <w:b/>
        </w:rPr>
        <w:t>EUR 50 billion</w:t>
      </w:r>
      <w:r w:rsidRPr="003C528A">
        <w:t xml:space="preserve">, and education and lifelong learning (including: childcare, vocational training, adjacent infrastructure) at </w:t>
      </w:r>
      <w:r w:rsidRPr="003C528A">
        <w:rPr>
          <w:b/>
        </w:rPr>
        <w:t>EUR 15 billion</w:t>
      </w:r>
      <w:r w:rsidRPr="003C528A">
        <w:t>. The gap for other social services and for the social services delivered in an integrated and community-based way has not been estimated.</w:t>
      </w:r>
    </w:p>
    <w:p w14:paraId="5DB1919C" w14:textId="3D45827A" w:rsidR="003D6097" w:rsidRPr="003C528A" w:rsidRDefault="00EE08A0" w:rsidP="00EE08A0">
      <w:r w:rsidRPr="003C528A">
        <w:t>InvestEU for Social Infrastructure and Services aims at tackling specific failures in the supply of infrastructure and services in the following fields</w:t>
      </w:r>
      <w:r w:rsidR="003D6097" w:rsidRPr="003C528A">
        <w:rPr>
          <w:rFonts w:cs="Times New Roman"/>
          <w:szCs w:val="24"/>
        </w:rPr>
        <w:t>.</w:t>
      </w:r>
      <w:r w:rsidR="003D6097" w:rsidRPr="003C528A">
        <w:t xml:space="preserve"> </w:t>
      </w:r>
    </w:p>
    <w:p w14:paraId="22C96E54" w14:textId="01E15E7E" w:rsidR="006526ED" w:rsidRPr="003C528A" w:rsidRDefault="006526ED" w:rsidP="006526ED">
      <w:pPr>
        <w:pStyle w:val="Heading2"/>
        <w:spacing w:after="120"/>
        <w:ind w:left="578" w:hanging="578"/>
        <w:rPr>
          <w:rFonts w:ascii="Times New Roman" w:hAnsi="Times New Roman" w:cs="Times New Roman"/>
          <w:sz w:val="24"/>
          <w:szCs w:val="24"/>
        </w:rPr>
      </w:pPr>
      <w:bookmarkStart w:id="47" w:name="_Toc24983384"/>
      <w:r w:rsidRPr="003C528A">
        <w:t>Main policy areas under social infrastructure and services</w:t>
      </w:r>
      <w:bookmarkEnd w:id="47"/>
    </w:p>
    <w:p w14:paraId="5E5DB3F9" w14:textId="170584A9" w:rsidR="006526ED" w:rsidRPr="003C528A" w:rsidRDefault="006526ED" w:rsidP="00EE08A0"/>
    <w:p w14:paraId="002BFF6B" w14:textId="0A9A339F" w:rsidR="00252677" w:rsidRPr="00A63126" w:rsidRDefault="00EE08A0" w:rsidP="00BB3757">
      <w:pPr>
        <w:pStyle w:val="Heading3"/>
      </w:pPr>
      <w:bookmarkStart w:id="48" w:name="_Toc24726234"/>
      <w:bookmarkStart w:id="49" w:name="_Toc24732657"/>
      <w:bookmarkStart w:id="50" w:name="_Toc24983385"/>
      <w:r w:rsidRPr="00A63126">
        <w:t>Affordable Social Housing</w:t>
      </w:r>
      <w:bookmarkEnd w:id="48"/>
      <w:bookmarkEnd w:id="49"/>
      <w:bookmarkEnd w:id="50"/>
    </w:p>
    <w:p w14:paraId="5509B3ED" w14:textId="77777777" w:rsidR="00EE08A0" w:rsidRPr="003C528A" w:rsidRDefault="00EE08A0" w:rsidP="00EE08A0">
      <w:pPr>
        <w:autoSpaceDE w:val="0"/>
        <w:autoSpaceDN w:val="0"/>
        <w:adjustRightInd w:val="0"/>
      </w:pPr>
      <w:r w:rsidRPr="003C528A">
        <w:t>Housing affordability and adequacy are increasing issues of concern in EU Member States, in particular in main urban areas. More and more people in the EU experience difficulties in accessing housing of good quality in the regular private housing market and are at risk of social exclusion. Of particular concern for the Pillar’s objective of social cohesion, homelessness and housing exclusion</w:t>
      </w:r>
      <w:r w:rsidRPr="003C528A">
        <w:rPr>
          <w:rStyle w:val="FootnoteReference"/>
        </w:rPr>
        <w:footnoteReference w:id="44"/>
      </w:r>
      <w:r w:rsidRPr="003C528A">
        <w:t xml:space="preserve"> numbers have increased in almost all Member States over the last decade and insufficient housing supply has been identified as one of the main factors behind this trend (FEANTSA, Overview of Housing Exclusion, several years; ESPN, 2019). Affordable s</w:t>
      </w:r>
      <w:r w:rsidRPr="003C528A">
        <w:rPr>
          <w:b/>
        </w:rPr>
        <w:t>ocial housing of good quality</w:t>
      </w:r>
      <w:r w:rsidRPr="003C528A">
        <w:t xml:space="preserve"> is one of the necessary tools to address the societal challenge of homelessness and housing exclusion, but there is a shortage of this type of dwellings across the EU and demand for social housing by far exceeds supply in many countries (as highlighted in the Economic and Social Developments in Europe 2019 report).</w:t>
      </w:r>
    </w:p>
    <w:p w14:paraId="70486442" w14:textId="77777777" w:rsidR="00EE08A0" w:rsidRPr="003C528A" w:rsidRDefault="00EE08A0" w:rsidP="00EE08A0">
      <w:pPr>
        <w:autoSpaceDE w:val="0"/>
        <w:autoSpaceDN w:val="0"/>
        <w:adjustRightInd w:val="0"/>
      </w:pPr>
      <w:r w:rsidRPr="003C528A">
        <w:t xml:space="preserve">More generally, out of the EUR 142 billion of estimated investment gap in social infrastructure, HLTF estimates that </w:t>
      </w:r>
      <w:r w:rsidRPr="003C528A">
        <w:rPr>
          <w:b/>
        </w:rPr>
        <w:t>EUR 57 billion</w:t>
      </w:r>
      <w:r w:rsidRPr="003C528A">
        <w:t xml:space="preserve"> are attributed to the housing sector, defined for this purpose as including tangible and intangible components. The latter includes energy efficiency/low carbon programmes addressing energy poverty, programmes for housing refurbishment/renovation and the provision of care &amp; support services for social housing residents. </w:t>
      </w:r>
    </w:p>
    <w:p w14:paraId="243B3E06" w14:textId="3C279C31" w:rsidR="00EE08A0" w:rsidRPr="003C528A" w:rsidRDefault="00EE08A0" w:rsidP="00EE08A0">
      <w:pPr>
        <w:autoSpaceDE w:val="0"/>
        <w:autoSpaceDN w:val="0"/>
        <w:adjustRightInd w:val="0"/>
      </w:pPr>
      <w:r w:rsidRPr="003C528A">
        <w:lastRenderedPageBreak/>
        <w:t xml:space="preserve">Based on the estimated market gaps and failures and pursuing its social inclusion goal, InvestEU should support investment in affordable social housing to address the issue of </w:t>
      </w:r>
      <w:r w:rsidR="007B3010" w:rsidRPr="003C528A">
        <w:t>disadvantaged persons</w:t>
      </w:r>
      <w:r w:rsidRPr="003C528A">
        <w:t xml:space="preserve"> excluded from the regular housing market due to solvency constraints, with a particular focus on the most vulnerable and socially excluded. In the latter case, InvestEU should follow a </w:t>
      </w:r>
      <w:r w:rsidRPr="003C528A">
        <w:rPr>
          <w:b/>
        </w:rPr>
        <w:t>housing-led approach, targeting investments that combine the provision of housing units with person-centred enabling support services</w:t>
      </w:r>
      <w:r w:rsidRPr="003C528A">
        <w:t>.</w:t>
      </w:r>
      <w:r w:rsidRPr="003C528A">
        <w:rPr>
          <w:lang w:val="en-US"/>
        </w:rPr>
        <w:t xml:space="preserve"> </w:t>
      </w:r>
    </w:p>
    <w:p w14:paraId="16FD6D5C" w14:textId="391F11A8" w:rsidR="003D6097" w:rsidRPr="003C528A" w:rsidRDefault="00EE08A0" w:rsidP="00EE08A0">
      <w:pPr>
        <w:rPr>
          <w:rFonts w:cs="Times New Roman"/>
          <w:szCs w:val="24"/>
        </w:rPr>
      </w:pPr>
      <w:r w:rsidRPr="003C528A">
        <w:t>The vulnerable groups targeted by investment in social housing include people with low incomes or below the poverty threshold facing housing exclusion, homeless, youth leaving institutional care, elderly, people with disabilities and other people experiencing social exclusion</w:t>
      </w:r>
      <w:r w:rsidR="00645662" w:rsidRPr="003C528A">
        <w:t xml:space="preserve"> such as</w:t>
      </w:r>
      <w:r w:rsidR="00645662" w:rsidRPr="003C528A">
        <w:rPr>
          <w:rFonts w:cs="Times New Roman"/>
          <w:b/>
          <w:szCs w:val="24"/>
        </w:rPr>
        <w:t xml:space="preserve"> </w:t>
      </w:r>
      <w:r w:rsidR="00645662" w:rsidRPr="003C528A">
        <w:rPr>
          <w:rFonts w:cs="Times New Roman"/>
          <w:szCs w:val="24"/>
        </w:rPr>
        <w:t>migrants</w:t>
      </w:r>
      <w:r w:rsidRPr="003C528A">
        <w:t>.</w:t>
      </w:r>
      <w:r w:rsidRPr="003C528A">
        <w:rPr>
          <w:rFonts w:ascii="Arial" w:hAnsi="Arial"/>
          <w:sz w:val="20"/>
          <w:szCs w:val="20"/>
        </w:rPr>
        <w:t xml:space="preserve"> </w:t>
      </w:r>
      <w:r w:rsidRPr="003C528A">
        <w:t>While the lack of sufficient affordable social housing may be particularly visible in urban areas, the market needs for affordable social housing exists also in rural and other areas. In addition, there is a need for housing to be accessible for persons with disabilities</w:t>
      </w:r>
      <w:r w:rsidR="003D6097" w:rsidRPr="003C528A">
        <w:rPr>
          <w:rFonts w:cs="Times New Roman"/>
          <w:szCs w:val="24"/>
        </w:rPr>
        <w:t xml:space="preserve">. </w:t>
      </w:r>
    </w:p>
    <w:p w14:paraId="135910F5" w14:textId="569FE009" w:rsidR="00252677" w:rsidRPr="0096757D" w:rsidRDefault="00EE08A0" w:rsidP="00BB3757">
      <w:pPr>
        <w:pStyle w:val="Heading3"/>
      </w:pPr>
      <w:bookmarkStart w:id="51" w:name="_Toc24726235"/>
      <w:bookmarkStart w:id="52" w:name="_Toc24732658"/>
      <w:bookmarkStart w:id="53" w:name="_Toc24983386"/>
      <w:r w:rsidRPr="00A63126">
        <w:t>Social infrastructure and services aimed at social inclusion</w:t>
      </w:r>
      <w:bookmarkEnd w:id="51"/>
      <w:bookmarkEnd w:id="52"/>
      <w:bookmarkEnd w:id="53"/>
      <w:r w:rsidRPr="0096757D">
        <w:t xml:space="preserve"> </w:t>
      </w:r>
    </w:p>
    <w:p w14:paraId="1CC6F940" w14:textId="342AB64B" w:rsidR="00EE08A0" w:rsidRPr="003C528A" w:rsidRDefault="00EE08A0" w:rsidP="00EE08A0">
      <w:r w:rsidRPr="003C528A">
        <w:t xml:space="preserve">The investment gap for </w:t>
      </w:r>
      <w:r w:rsidR="009D6D22" w:rsidRPr="003C528A">
        <w:t xml:space="preserve">social infrastructure and </w:t>
      </w:r>
      <w:r w:rsidRPr="003C528A">
        <w:t>services</w:t>
      </w:r>
      <w:r w:rsidR="009D6D22" w:rsidRPr="003C528A">
        <w:t xml:space="preserve"> aimed at social inclusion</w:t>
      </w:r>
      <w:r w:rsidRPr="003C528A">
        <w:t xml:space="preserve"> has not been estimated. One of the reasons is that the </w:t>
      </w:r>
      <w:r w:rsidR="009D6D22" w:rsidRPr="003C528A">
        <w:t xml:space="preserve">social </w:t>
      </w:r>
      <w:r w:rsidRPr="003C528A">
        <w:t xml:space="preserve">infrastructure and services supporting social inclusion are increasingly delivered in an integrated way (i.e. different services and stakeholders delivering join interventions). Additionally, they are delivered at a community level, </w:t>
      </w:r>
      <w:r w:rsidR="00043C04" w:rsidRPr="003C528A">
        <w:t>to</w:t>
      </w:r>
      <w:r w:rsidRPr="003C528A">
        <w:t xml:space="preserve"> respond to local contexts and needs. While this kind of provision has been recognized as effective in addressing barriers to social and labour market integration, regional and local governments, who carry out </w:t>
      </w:r>
      <w:r w:rsidR="009D6D22" w:rsidRPr="003C528A">
        <w:t>two thirds</w:t>
      </w:r>
      <w:r w:rsidRPr="003C528A">
        <w:t xml:space="preserve"> of investment in public infrastructure, often depend on central government transfers. Often, these services are simply not available on local level. </w:t>
      </w:r>
    </w:p>
    <w:p w14:paraId="728E5B6A" w14:textId="50955366" w:rsidR="009668DA" w:rsidRPr="003C528A" w:rsidRDefault="00EE08A0" w:rsidP="00EE08A0">
      <w:pPr>
        <w:rPr>
          <w:rFonts w:cs="Arial"/>
        </w:rPr>
      </w:pPr>
      <w:r w:rsidRPr="003C528A">
        <w:t>Therefore, InvestEU should target investments that enhance social planning, construction and reconstruction at regional and local level that aim at social inclusion. This could contribute to increasing availability and sustainability of social infrastructure and services on regional and local level, as well as their effectiveness and efficiency, through planning based on needs and forecasting, in other words the planning that links investments to long-term social inclusion strategies. Moreover, mobilizing a sustainable investment guarantee for social inclusion at regional and local level could contribute to better targeting social infrastructure and services through address specific and complex needs. Additionally, it could complement public and EU grant based resources, as well as enhance social innovation aspects through pulling together different stakeholders. Finally, it could enhance social aspects in urban and rural planning, construction and reconstruction</w:t>
      </w:r>
      <w:r w:rsidR="009668DA" w:rsidRPr="003C528A">
        <w:rPr>
          <w:rFonts w:cs="Arial"/>
        </w:rPr>
        <w:t>.</w:t>
      </w:r>
    </w:p>
    <w:p w14:paraId="0BAD5C54" w14:textId="10F67D37" w:rsidR="00EE08A0" w:rsidRPr="0096757D" w:rsidRDefault="00EE08A0" w:rsidP="00BB3757">
      <w:pPr>
        <w:pStyle w:val="Heading3"/>
      </w:pPr>
      <w:bookmarkStart w:id="54" w:name="_Toc24726236"/>
      <w:bookmarkStart w:id="55" w:name="_Toc24732659"/>
      <w:bookmarkStart w:id="56" w:name="_Toc24983387"/>
      <w:r w:rsidRPr="00A63126">
        <w:t>Enabling solutions fo</w:t>
      </w:r>
      <w:r w:rsidRPr="0096757D">
        <w:t xml:space="preserve">r the </w:t>
      </w:r>
      <w:r w:rsidR="002A5D98" w:rsidRPr="0096757D">
        <w:t xml:space="preserve">inclusion </w:t>
      </w:r>
      <w:r w:rsidRPr="0096757D">
        <w:t>of persons with disabilities in the community</w:t>
      </w:r>
      <w:bookmarkEnd w:id="54"/>
      <w:bookmarkEnd w:id="55"/>
      <w:bookmarkEnd w:id="56"/>
    </w:p>
    <w:p w14:paraId="229364B1" w14:textId="5B2E5CB4" w:rsidR="00EE08A0" w:rsidRPr="003C528A" w:rsidRDefault="00EE08A0" w:rsidP="00EE08A0">
      <w:pPr>
        <w:autoSpaceDE w:val="0"/>
        <w:autoSpaceDN w:val="0"/>
        <w:adjustRightInd w:val="0"/>
      </w:pPr>
      <w:r w:rsidRPr="003C528A">
        <w:t xml:space="preserve">Investment gaps in the provision of services for persons with disabilities, provided in an inclusive, targeted and coherent manner, are large. Yet, population ageing increases the number of persons with disabilities and consequently, the need to provide additional tailor-made services for this group. Only for </w:t>
      </w:r>
      <w:r w:rsidR="0087598C" w:rsidRPr="00BB3757">
        <w:t xml:space="preserve">health and </w:t>
      </w:r>
      <w:r w:rsidRPr="00BB3757">
        <w:t>long-term care</w:t>
      </w:r>
      <w:r w:rsidRPr="003C528A">
        <w:t xml:space="preserve">, the minimum gap is estimated to be at </w:t>
      </w:r>
      <w:r w:rsidRPr="00BB3757">
        <w:t>70 EUR bn</w:t>
      </w:r>
      <w:r w:rsidRPr="003C528A">
        <w:t xml:space="preserve">, with an </w:t>
      </w:r>
      <w:r w:rsidR="00A7627C" w:rsidRPr="003C528A">
        <w:t>unknown</w:t>
      </w:r>
      <w:r w:rsidRPr="003C528A">
        <w:t xml:space="preserve"> amount for disability alone. Given the </w:t>
      </w:r>
      <w:r w:rsidRPr="003C528A">
        <w:lastRenderedPageBreak/>
        <w:t xml:space="preserve">advances in technology and health, disabled persons are living longer and consequently, there is a rising need to make all type of mainstream services accessible and disability inclusive. </w:t>
      </w:r>
    </w:p>
    <w:p w14:paraId="0B8AB21F" w14:textId="77777777" w:rsidR="00EE08A0" w:rsidRPr="003C528A" w:rsidRDefault="00EE08A0" w:rsidP="00EE08A0">
      <w:pPr>
        <w:autoSpaceDE w:val="0"/>
        <w:autoSpaceDN w:val="0"/>
        <w:adjustRightInd w:val="0"/>
      </w:pPr>
      <w:r w:rsidRPr="003C528A">
        <w:t xml:space="preserve">In addition, there is a market failure in the provision of services needed for a successful process of deinstitutionalisation. According to the Synthesis report ‘The right to live independently and to be included in the community in the European States’, thousands of adults and children with disabilities in the European Union still live in institutions because of the lack of community-based services. Moreover, older adults acquiring disabilities are experiencing difficulties to exercise their choice to remain at home and live independently with the support they need. For example, lack of accessible housing and transport or limited inclusive and accessible cultural, leisure and sport activities make creates barriers in exercising the rights to independent living. </w:t>
      </w:r>
    </w:p>
    <w:p w14:paraId="35762AA9" w14:textId="4B486E50" w:rsidR="00EE08A0" w:rsidRPr="003C528A" w:rsidRDefault="00EE08A0" w:rsidP="00EE08A0">
      <w:r w:rsidRPr="003C528A">
        <w:t>InvestEU has a potential to contribute towards closing the investment gaps in the</w:t>
      </w:r>
      <w:r w:rsidRPr="003C528A">
        <w:rPr>
          <w:b/>
        </w:rPr>
        <w:t xml:space="preserve"> provision of services and infrastructure for persons with disabilities</w:t>
      </w:r>
      <w:r w:rsidRPr="003C528A">
        <w:t xml:space="preserve"> and to pave the way for the </w:t>
      </w:r>
      <w:r w:rsidRPr="003C528A">
        <w:rPr>
          <w:b/>
        </w:rPr>
        <w:t>transition for persons with disabilities from institutions to services in the community</w:t>
      </w:r>
      <w:r w:rsidR="002A5D98" w:rsidRPr="003C528A">
        <w:t>, in line with the UN Convention on the Rights of Persons with Disabilities</w:t>
      </w:r>
      <w:r w:rsidRPr="003C528A">
        <w:t xml:space="preserve">. There is a strong need to develop person-centred, integrated targeted community based support to secure independent life and inclusion in the community for all people with disabilities. In addition, it is essential to </w:t>
      </w:r>
      <w:r w:rsidRPr="003C528A">
        <w:rPr>
          <w:b/>
        </w:rPr>
        <w:t>ensure the accessibility and disability inclusion of mainstream services</w:t>
      </w:r>
      <w:r w:rsidRPr="003C528A">
        <w:t xml:space="preserve"> provided in the community including social, health, education, supported employment, transport and other type of services including accessible housing, transport, cultural, leisure, sport and others.</w:t>
      </w:r>
    </w:p>
    <w:p w14:paraId="77B4175B" w14:textId="2D13A49D" w:rsidR="00EE08A0" w:rsidRPr="00A63126" w:rsidRDefault="00EE08A0" w:rsidP="00BB3757">
      <w:pPr>
        <w:pStyle w:val="Heading3"/>
      </w:pPr>
      <w:bookmarkStart w:id="57" w:name="_Toc24983388"/>
      <w:bookmarkStart w:id="58" w:name="_Toc24726237"/>
      <w:bookmarkStart w:id="59" w:name="_Toc24732660"/>
      <w:r w:rsidRPr="00A63126">
        <w:t>Health</w:t>
      </w:r>
      <w:bookmarkEnd w:id="57"/>
      <w:r w:rsidRPr="00A63126">
        <w:t xml:space="preserve"> </w:t>
      </w:r>
      <w:bookmarkEnd w:id="58"/>
      <w:bookmarkEnd w:id="59"/>
    </w:p>
    <w:p w14:paraId="7800E519" w14:textId="77777777" w:rsidR="00244BDF" w:rsidRPr="003C528A" w:rsidRDefault="00244BDF" w:rsidP="00244BDF">
      <w:r w:rsidRPr="003C528A">
        <w:t>Health systems in the EU are in need of reforms and cost-effective innovations to adapt to the challenges they face, such as the increasing demand for healthcare, population ageing, rising burden of chronic conditions and multi-morbidity, as well as risks to their sustainability due to expensive innovative products. The direction of travel is towards new care models that support a shift from the traditional hospital-centred approach to more community-based and integrated care structures, putting the focus on health promotion, disease prevention and person-centred care. The reforms can be facilitated by the digitisation of health systems and by strengthening the research, development and testing of innovative cost-effective solutions, including technological, organisational and service innovations.</w:t>
      </w:r>
    </w:p>
    <w:p w14:paraId="5561E711" w14:textId="77777777" w:rsidR="00244BDF" w:rsidRPr="003C528A" w:rsidRDefault="00244BDF" w:rsidP="00244BDF">
      <w:pPr>
        <w:rPr>
          <w:rFonts w:cs="Times New Roman"/>
          <w:szCs w:val="24"/>
        </w:rPr>
      </w:pPr>
      <w:r w:rsidRPr="003C528A">
        <w:t xml:space="preserve">The reforms and modernisation of health systems require </w:t>
      </w:r>
      <w:r w:rsidRPr="003C528A">
        <w:rPr>
          <w:b/>
        </w:rPr>
        <w:t xml:space="preserve">sustained </w:t>
      </w:r>
      <w:r w:rsidRPr="003C528A">
        <w:t xml:space="preserve">financing - both for up-front investments and during a transitional period until the reforms are implemented and </w:t>
      </w:r>
      <w:r w:rsidRPr="003C528A">
        <w:rPr>
          <w:rFonts w:cs="Times New Roman"/>
          <w:szCs w:val="24"/>
        </w:rPr>
        <w:t xml:space="preserve">bring the anticipated benefits and returns. In this context, investments are needed </w:t>
      </w:r>
      <w:r w:rsidRPr="003C528A">
        <w:rPr>
          <w:rFonts w:cs="Times New Roman"/>
          <w:b/>
          <w:szCs w:val="24"/>
        </w:rPr>
        <w:t>not only</w:t>
      </w:r>
      <w:r w:rsidRPr="003C528A">
        <w:rPr>
          <w:rFonts w:cs="Times New Roman"/>
          <w:szCs w:val="24"/>
        </w:rPr>
        <w:t xml:space="preserve"> in the traditional areas of hospital infrastructure and medical equipment, but also on several </w:t>
      </w:r>
      <w:r w:rsidRPr="003C528A">
        <w:rPr>
          <w:rFonts w:cs="Times New Roman"/>
          <w:b/>
          <w:szCs w:val="24"/>
        </w:rPr>
        <w:t xml:space="preserve">additional </w:t>
      </w:r>
      <w:r w:rsidRPr="003C528A">
        <w:rPr>
          <w:rFonts w:cs="Times New Roman"/>
          <w:szCs w:val="24"/>
        </w:rPr>
        <w:t>fronts: new facilities such as primary care and community care centres; digital systems such as eHealth and mHealth tools and services; system re-organisation into new service models; novel financing/reimbursement methodologies; integration of new innovative products/technologies; and education and up-skilling of health workforce in new roles and skills.</w:t>
      </w:r>
    </w:p>
    <w:p w14:paraId="27EA621A" w14:textId="77777777" w:rsidR="00244BDF" w:rsidRPr="003C528A" w:rsidRDefault="00244BDF" w:rsidP="00244BDF">
      <w:pPr>
        <w:autoSpaceDE w:val="0"/>
        <w:autoSpaceDN w:val="0"/>
        <w:adjustRightInd w:val="0"/>
        <w:rPr>
          <w:rFonts w:cs="Times New Roman"/>
          <w:szCs w:val="24"/>
        </w:rPr>
      </w:pPr>
      <w:r w:rsidRPr="003C528A">
        <w:rPr>
          <w:rFonts w:cs="Times New Roman"/>
          <w:szCs w:val="24"/>
        </w:rPr>
        <w:lastRenderedPageBreak/>
        <w:t xml:space="preserve">The lack of investments in health has been documented by the High-Level Task Force (HLTF) on investing in social infrastructure in Europe, which indicates an </w:t>
      </w:r>
      <w:r w:rsidRPr="003C528A">
        <w:rPr>
          <w:rFonts w:cs="Times New Roman"/>
          <w:b/>
          <w:szCs w:val="24"/>
        </w:rPr>
        <w:t>annual investment gap of €70bn in social infrastructure for health and long-term care</w:t>
      </w:r>
      <w:r w:rsidRPr="003C528A">
        <w:rPr>
          <w:rFonts w:cs="Times New Roman"/>
          <w:szCs w:val="24"/>
        </w:rPr>
        <w:t xml:space="preserve"> across the EU Member States. Furthermore, a market study commissioned by the EIB and DG SANTE has identified a combined </w:t>
      </w:r>
      <w:r w:rsidRPr="003C528A">
        <w:rPr>
          <w:rFonts w:cs="Times New Roman"/>
          <w:b/>
          <w:szCs w:val="24"/>
        </w:rPr>
        <w:t>deficit in healthcare capital stock (assets) of €262bn in 18 Member States</w:t>
      </w:r>
      <w:r w:rsidRPr="003C528A">
        <w:rPr>
          <w:rStyle w:val="FootnoteReference"/>
          <w:rFonts w:cs="Times New Roman"/>
          <w:szCs w:val="24"/>
        </w:rPr>
        <w:footnoteReference w:id="45"/>
      </w:r>
      <w:r w:rsidRPr="003C528A">
        <w:rPr>
          <w:rFonts w:cs="Times New Roman"/>
          <w:szCs w:val="24"/>
        </w:rPr>
        <w:t xml:space="preserve">. The same study revealed that even if EU Member State strategies prioritise investments in areas such as primary care and disease prevention, in practice, little is invested in these. </w:t>
      </w:r>
      <w:r w:rsidRPr="003C528A">
        <w:rPr>
          <w:rFonts w:cs="Times New Roman"/>
          <w:b/>
          <w:szCs w:val="24"/>
        </w:rPr>
        <w:t>Limited available budget</w:t>
      </w:r>
      <w:r w:rsidRPr="003C528A">
        <w:rPr>
          <w:rFonts w:cs="Times New Roman"/>
          <w:szCs w:val="24"/>
        </w:rPr>
        <w:t xml:space="preserve"> and </w:t>
      </w:r>
      <w:r w:rsidRPr="003C528A">
        <w:rPr>
          <w:rFonts w:cs="Times New Roman"/>
          <w:b/>
          <w:szCs w:val="24"/>
        </w:rPr>
        <w:t>insufficient access to financing</w:t>
      </w:r>
      <w:r w:rsidRPr="003C528A">
        <w:rPr>
          <w:rFonts w:cs="Times New Roman"/>
          <w:szCs w:val="24"/>
        </w:rPr>
        <w:t xml:space="preserve"> are among the reasons for this failure. </w:t>
      </w:r>
    </w:p>
    <w:p w14:paraId="65C23AA3" w14:textId="77777777" w:rsidR="00244BDF" w:rsidRPr="003C528A" w:rsidRDefault="00244BDF" w:rsidP="00244BDF">
      <w:pPr>
        <w:autoSpaceDE w:val="0"/>
        <w:autoSpaceDN w:val="0"/>
        <w:adjustRightInd w:val="0"/>
        <w:rPr>
          <w:rFonts w:cs="Times New Roman"/>
          <w:szCs w:val="24"/>
        </w:rPr>
      </w:pPr>
      <w:r w:rsidRPr="003C528A">
        <w:rPr>
          <w:rFonts w:cs="Times New Roman"/>
          <w:b/>
          <w:szCs w:val="24"/>
        </w:rPr>
        <w:t>Other market failures relate</w:t>
      </w:r>
      <w:r w:rsidRPr="003C528A">
        <w:rPr>
          <w:rFonts w:cs="Times New Roman"/>
          <w:szCs w:val="24"/>
        </w:rPr>
        <w:t xml:space="preserve"> to: </w:t>
      </w:r>
    </w:p>
    <w:p w14:paraId="67506C15" w14:textId="2A281B98"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The fact that it can take several years to realise the benefits of reformed health services, hence the return on investment may come in the medium to long term and at high risk</w:t>
      </w:r>
      <w:r w:rsidR="00511F2F" w:rsidRPr="003C528A">
        <w:rPr>
          <w:rFonts w:cs="Times New Roman"/>
          <w:szCs w:val="24"/>
        </w:rPr>
        <w:t>;</w:t>
      </w:r>
    </w:p>
    <w:p w14:paraId="134F5EE9" w14:textId="0E41D71E"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Risk due to regulatory uncertainties</w:t>
      </w:r>
      <w:r w:rsidR="00511F2F" w:rsidRPr="003C528A">
        <w:rPr>
          <w:rFonts w:cs="Times New Roman"/>
          <w:szCs w:val="24"/>
        </w:rPr>
        <w:t>;</w:t>
      </w:r>
    </w:p>
    <w:p w14:paraId="66F8DF18" w14:textId="68FA5957"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Risk caused by the uncertainty of whether an innovative solution will actually deliver benefits when integrated in a health system or whether it is of limited value or poses risks to patients (in essence, lack of sufficient evidence for many innovative solutions)</w:t>
      </w:r>
      <w:r w:rsidR="00511F2F" w:rsidRPr="003C528A">
        <w:rPr>
          <w:rFonts w:cs="Times New Roman"/>
          <w:szCs w:val="24"/>
        </w:rPr>
        <w:t>;</w:t>
      </w:r>
    </w:p>
    <w:p w14:paraId="74937C60" w14:textId="1958EAFC"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 xml:space="preserve">The fact that investments in services are </w:t>
      </w:r>
      <w:r w:rsidR="00511F2F" w:rsidRPr="003C528A">
        <w:rPr>
          <w:rFonts w:cs="Times New Roman"/>
          <w:szCs w:val="24"/>
        </w:rPr>
        <w:t>“</w:t>
      </w:r>
      <w:r w:rsidRPr="003C528A">
        <w:rPr>
          <w:rFonts w:cs="Times New Roman"/>
          <w:szCs w:val="24"/>
        </w:rPr>
        <w:t>intangible</w:t>
      </w:r>
      <w:r w:rsidR="00511F2F" w:rsidRPr="003C528A">
        <w:rPr>
          <w:rFonts w:cs="Times New Roman"/>
          <w:szCs w:val="24"/>
        </w:rPr>
        <w:t>”</w:t>
      </w:r>
      <w:r w:rsidRPr="003C528A">
        <w:rPr>
          <w:rFonts w:cs="Times New Roman"/>
          <w:szCs w:val="24"/>
        </w:rPr>
        <w:t xml:space="preserve"> and of rather small size, thereby less attractive to many investors</w:t>
      </w:r>
      <w:r w:rsidR="00511F2F" w:rsidRPr="003C528A">
        <w:rPr>
          <w:rFonts w:cs="Times New Roman"/>
          <w:szCs w:val="24"/>
        </w:rPr>
        <w:t>;</w:t>
      </w:r>
    </w:p>
    <w:p w14:paraId="591754DA" w14:textId="5C88B592"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The financing for combinations of technological, service and organisational innovations is complex and risky</w:t>
      </w:r>
      <w:r w:rsidR="00511F2F" w:rsidRPr="003C528A">
        <w:rPr>
          <w:rFonts w:cs="Times New Roman"/>
          <w:szCs w:val="24"/>
        </w:rPr>
        <w:t>.</w:t>
      </w:r>
      <w:r w:rsidRPr="003C528A">
        <w:rPr>
          <w:rFonts w:cs="Times New Roman"/>
          <w:szCs w:val="24"/>
        </w:rPr>
        <w:t xml:space="preserve">  </w:t>
      </w:r>
    </w:p>
    <w:p w14:paraId="15E6A1B8" w14:textId="783FEAC4" w:rsidR="00244BDF" w:rsidRPr="003C528A" w:rsidRDefault="00511F2F" w:rsidP="00244BDF">
      <w:pPr>
        <w:rPr>
          <w:rFonts w:cs="Times New Roman"/>
          <w:szCs w:val="24"/>
        </w:rPr>
      </w:pPr>
      <w:r w:rsidRPr="003C528A">
        <w:rPr>
          <w:rFonts w:cs="Times New Roman"/>
          <w:szCs w:val="24"/>
        </w:rPr>
        <w:t>InvestEU support in this area</w:t>
      </w:r>
      <w:r w:rsidR="00244BDF" w:rsidRPr="003C528A">
        <w:rPr>
          <w:rFonts w:cs="Times New Roman"/>
          <w:szCs w:val="24"/>
        </w:rPr>
        <w:t xml:space="preserve"> will support EU health</w:t>
      </w:r>
      <w:r w:rsidRPr="003C528A">
        <w:rPr>
          <w:rFonts w:cs="Times New Roman"/>
          <w:szCs w:val="24"/>
        </w:rPr>
        <w:t>-</w:t>
      </w:r>
      <w:r w:rsidR="00244BDF" w:rsidRPr="003C528A">
        <w:rPr>
          <w:rFonts w:cs="Times New Roman"/>
          <w:szCs w:val="24"/>
        </w:rPr>
        <w:t xml:space="preserve">related policies and in particular: </w:t>
      </w:r>
    </w:p>
    <w:p w14:paraId="4BD6C9EA" w14:textId="4E19B1DB"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 xml:space="preserve">The Commission’s Communication on </w:t>
      </w:r>
      <w:r w:rsidR="00511F2F" w:rsidRPr="003C528A">
        <w:rPr>
          <w:rFonts w:cs="Times New Roman"/>
          <w:szCs w:val="24"/>
        </w:rPr>
        <w:t>“</w:t>
      </w:r>
      <w:r w:rsidRPr="003C528A">
        <w:rPr>
          <w:rFonts w:cs="Times New Roman"/>
          <w:szCs w:val="24"/>
        </w:rPr>
        <w:t>effective, accessible and resilient health systems</w:t>
      </w:r>
      <w:r w:rsidR="00511F2F" w:rsidRPr="003C528A">
        <w:rPr>
          <w:rFonts w:cs="Times New Roman"/>
          <w:szCs w:val="24"/>
        </w:rPr>
        <w:t>”;</w:t>
      </w:r>
    </w:p>
    <w:p w14:paraId="0A0CE715" w14:textId="678B9A58"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The Commission’s Communication on “enabling the digital transformation of health and care in the Digital Single Market”</w:t>
      </w:r>
      <w:r w:rsidR="00511F2F" w:rsidRPr="003C528A">
        <w:rPr>
          <w:rFonts w:cs="Times New Roman"/>
          <w:szCs w:val="24"/>
        </w:rPr>
        <w:t>;</w:t>
      </w:r>
    </w:p>
    <w:p w14:paraId="2C09D8A3" w14:textId="6E7E4F4B"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The Commission’s Communication on Artificial Intelligence for Europe</w:t>
      </w:r>
      <w:r w:rsidR="00511F2F" w:rsidRPr="003C528A">
        <w:rPr>
          <w:rFonts w:cs="Times New Roman"/>
          <w:szCs w:val="24"/>
        </w:rPr>
        <w:t>;</w:t>
      </w:r>
    </w:p>
    <w:p w14:paraId="10C8AE0C" w14:textId="7B847650"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The Recommendation on a European Electroni</w:t>
      </w:r>
      <w:r w:rsidR="00511F2F" w:rsidRPr="003C528A">
        <w:rPr>
          <w:rFonts w:cs="Times New Roman"/>
          <w:szCs w:val="24"/>
        </w:rPr>
        <w:t>c Health Record exchange format;</w:t>
      </w:r>
    </w:p>
    <w:p w14:paraId="7DC9CB1C" w14:textId="2A8B1C57"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The European Pillar of Social Rights</w:t>
      </w:r>
      <w:r w:rsidR="00511F2F" w:rsidRPr="003C528A">
        <w:rPr>
          <w:rFonts w:cs="Times New Roman"/>
          <w:szCs w:val="24"/>
        </w:rPr>
        <w:t>;</w:t>
      </w:r>
    </w:p>
    <w:p w14:paraId="4181FFB0" w14:textId="76ADEA5E" w:rsidR="00244BDF" w:rsidRPr="003C528A" w:rsidRDefault="00244BDF" w:rsidP="00511F2F">
      <w:pPr>
        <w:pStyle w:val="ListParagraph"/>
        <w:numPr>
          <w:ilvl w:val="0"/>
          <w:numId w:val="55"/>
        </w:numPr>
        <w:autoSpaceDE w:val="0"/>
        <w:autoSpaceDN w:val="0"/>
        <w:adjustRightInd w:val="0"/>
        <w:rPr>
          <w:rFonts w:cs="Times New Roman"/>
          <w:szCs w:val="24"/>
        </w:rPr>
      </w:pPr>
      <w:r w:rsidRPr="003C528A">
        <w:rPr>
          <w:rFonts w:cs="Times New Roman"/>
          <w:szCs w:val="24"/>
        </w:rPr>
        <w:t>The UN Sustainable Development Goal 3: “Ensure healthy lives and promote well-being for all at all ages”</w:t>
      </w:r>
      <w:r w:rsidR="00511F2F" w:rsidRPr="003C528A">
        <w:rPr>
          <w:rFonts w:cs="Times New Roman"/>
          <w:szCs w:val="24"/>
        </w:rPr>
        <w:t>.</w:t>
      </w:r>
    </w:p>
    <w:p w14:paraId="18DF1646" w14:textId="342C8575" w:rsidR="00244BDF" w:rsidRPr="003C528A" w:rsidRDefault="00244BDF" w:rsidP="0037223D">
      <w:pPr>
        <w:autoSpaceDE w:val="0"/>
        <w:autoSpaceDN w:val="0"/>
        <w:adjustRightInd w:val="0"/>
        <w:rPr>
          <w:rFonts w:cs="Times New Roman"/>
          <w:szCs w:val="24"/>
        </w:rPr>
      </w:pPr>
    </w:p>
    <w:p w14:paraId="1A8A668B" w14:textId="1D0D317C" w:rsidR="00EE08A0" w:rsidRPr="0096757D" w:rsidRDefault="00EE08A0" w:rsidP="00BB3757">
      <w:pPr>
        <w:pStyle w:val="Heading3"/>
      </w:pPr>
      <w:bookmarkStart w:id="60" w:name="_Toc24731836"/>
      <w:bookmarkStart w:id="61" w:name="_Toc24732661"/>
      <w:bookmarkStart w:id="62" w:name="_Toc24731837"/>
      <w:bookmarkStart w:id="63" w:name="_Toc24732662"/>
      <w:bookmarkStart w:id="64" w:name="_Toc24726238"/>
      <w:bookmarkStart w:id="65" w:name="_Toc24732663"/>
      <w:bookmarkStart w:id="66" w:name="_Toc24983389"/>
      <w:bookmarkEnd w:id="60"/>
      <w:bookmarkEnd w:id="61"/>
      <w:bookmarkEnd w:id="62"/>
      <w:bookmarkEnd w:id="63"/>
      <w:r w:rsidRPr="00A63126">
        <w:t>Education and training infrastructure</w:t>
      </w:r>
      <w:bookmarkEnd w:id="64"/>
      <w:bookmarkEnd w:id="65"/>
      <w:bookmarkEnd w:id="66"/>
    </w:p>
    <w:p w14:paraId="4A8CB391" w14:textId="77777777" w:rsidR="00EE08A0" w:rsidRPr="003C528A" w:rsidRDefault="00EE08A0" w:rsidP="00EE08A0">
      <w:r w:rsidRPr="003C528A">
        <w:t xml:space="preserve">The HLTF estimates an annual market gap of </w:t>
      </w:r>
      <w:r w:rsidRPr="003C528A">
        <w:rPr>
          <w:b/>
        </w:rPr>
        <w:t>EUR 15 billion</w:t>
      </w:r>
      <w:r w:rsidRPr="003C528A">
        <w:t xml:space="preserve"> for education &amp; lifelong learning infrastructure and related services. Among the tangible components of this sector, </w:t>
      </w:r>
      <w:r w:rsidRPr="003C528A">
        <w:lastRenderedPageBreak/>
        <w:t xml:space="preserve">the HLTF identifies among others kindergartens, childcare, schools, vocational colleges, universities and student accommodation. </w:t>
      </w:r>
    </w:p>
    <w:p w14:paraId="12D1B00C" w14:textId="77777777" w:rsidR="00EE08A0" w:rsidRPr="003C528A" w:rsidRDefault="00EE08A0" w:rsidP="00EE08A0">
      <w:pPr>
        <w:autoSpaceDE w:val="0"/>
        <w:autoSpaceDN w:val="0"/>
        <w:adjustRightInd w:val="0"/>
      </w:pPr>
      <w:r w:rsidRPr="003C528A">
        <w:t xml:space="preserve">InvestEU should target in particular investments aimed at improving access to and quality of </w:t>
      </w:r>
      <w:r w:rsidRPr="003C528A">
        <w:rPr>
          <w:b/>
        </w:rPr>
        <w:t>early childhood education and care</w:t>
      </w:r>
      <w:r w:rsidRPr="003C528A">
        <w:t>, including through infrastructure investment (both new infrastructure or upgrading of existing infrastructure) and provision of training and professional development opportunities to staff involved in this sector. Eurostat data shows that many EU Member States do not have sufficient childcare infrastructure to answer the high demand. In addition, costs of ECEC services remain a barrier to accessing for poor families and alone parents, mostly mothers. The availability, accessibility and affordability of high quality childcare facilities is key to tackle possible social disadvantages of children and helps with reconciliation of work with family life, conducive to labour market participation of women and strengthening gender equality.</w:t>
      </w:r>
      <w:r w:rsidRPr="003C528A">
        <w:rPr>
          <w:rFonts w:ascii="Arial" w:hAnsi="Arial"/>
          <w:sz w:val="20"/>
          <w:szCs w:val="20"/>
        </w:rPr>
        <w:t xml:space="preserve"> </w:t>
      </w:r>
    </w:p>
    <w:p w14:paraId="606FFA41" w14:textId="63719309" w:rsidR="00EE08A0" w:rsidRPr="003C528A" w:rsidRDefault="00EE08A0" w:rsidP="00EE08A0">
      <w:r w:rsidRPr="003C528A">
        <w:t xml:space="preserve">InvestEU should also target in particular investments improving access to and quality of </w:t>
      </w:r>
      <w:r w:rsidRPr="003C528A">
        <w:rPr>
          <w:b/>
        </w:rPr>
        <w:t>student housing</w:t>
      </w:r>
      <w:r w:rsidRPr="003C528A">
        <w:t>, including through infrastructure investment (both new infrastructure and upgrading of existing infrastructure) and provision of related services.  Doubling the Erasmus programme’s budget will make it possible to support the mobility of up to 12 million people between 2021 and 2027, three times as many as in the current financing period. With such an increase and without adequate investment, the housing situation for mobile students in Europe can become critical. Support in this respect would also give the opportunity to students from a lower socio-economic background to participate in higher education, thereby contributing to the overall objective of inclusive education for all.</w:t>
      </w:r>
    </w:p>
    <w:p w14:paraId="22F8E075" w14:textId="053BD9EC" w:rsidR="003A2466" w:rsidRPr="003C528A" w:rsidRDefault="003A2466" w:rsidP="00D245D5">
      <w:pPr>
        <w:pStyle w:val="Heading2"/>
        <w:spacing w:after="120"/>
        <w:ind w:left="578" w:hanging="578"/>
      </w:pPr>
      <w:bookmarkStart w:id="67" w:name="_Toc24726240"/>
      <w:bookmarkStart w:id="68" w:name="_Toc24732665"/>
      <w:bookmarkStart w:id="69" w:name="_Toc24983391"/>
      <w:r w:rsidRPr="003C528A">
        <w:t>Funding needs and types of EU-level financial instruments</w:t>
      </w:r>
      <w:bookmarkEnd w:id="67"/>
      <w:bookmarkEnd w:id="68"/>
      <w:bookmarkEnd w:id="69"/>
    </w:p>
    <w:p w14:paraId="4918CB6B" w14:textId="76490BC8" w:rsidR="003A2466" w:rsidRPr="003C528A" w:rsidRDefault="003A2466" w:rsidP="003A2466">
      <w:r w:rsidRPr="003C528A">
        <w:t xml:space="preserve">A complementary range of financial instruments covering </w:t>
      </w:r>
      <w:r w:rsidRPr="003C528A">
        <w:rPr>
          <w:b/>
        </w:rPr>
        <w:t>direct equity</w:t>
      </w:r>
      <w:r w:rsidRPr="003C528A">
        <w:t xml:space="preserve"> and </w:t>
      </w:r>
      <w:r w:rsidRPr="003C528A">
        <w:rPr>
          <w:b/>
        </w:rPr>
        <w:t>debt,</w:t>
      </w:r>
      <w:r w:rsidRPr="003C528A">
        <w:t xml:space="preserve"> </w:t>
      </w:r>
      <w:r w:rsidRPr="003C528A">
        <w:rPr>
          <w:b/>
        </w:rPr>
        <w:t>intermediary equity</w:t>
      </w:r>
      <w:r w:rsidRPr="003C528A">
        <w:t xml:space="preserve"> and </w:t>
      </w:r>
      <w:r w:rsidRPr="003C528A">
        <w:rPr>
          <w:b/>
        </w:rPr>
        <w:t>debt</w:t>
      </w:r>
      <w:r w:rsidRPr="003C528A">
        <w:t xml:space="preserve">, and </w:t>
      </w:r>
      <w:r w:rsidRPr="003C528A">
        <w:rPr>
          <w:b/>
        </w:rPr>
        <w:t>PPPs</w:t>
      </w:r>
      <w:r w:rsidRPr="003C528A">
        <w:t xml:space="preserve"> is required in order to support social infrastructure (including health and educational infrastructure as well as social and student housing), projects involving social innovation, health services, ageing and long-term care, inclusion and accessibility, as well as cultural and creative activities with a social goal. </w:t>
      </w:r>
    </w:p>
    <w:p w14:paraId="4DD3DE15" w14:textId="0CB625D6" w:rsidR="003A2466" w:rsidRPr="003C528A" w:rsidRDefault="003A2466" w:rsidP="003A2466">
      <w:r w:rsidRPr="003C528A">
        <w:rPr>
          <w:b/>
        </w:rPr>
        <w:t>Debt and equity financing</w:t>
      </w:r>
      <w:r w:rsidRPr="003C528A">
        <w:t xml:space="preserve"> are the most used financial instruments to promote financing and investment operations with the objective of providing</w:t>
      </w:r>
      <w:r w:rsidR="002921A4" w:rsidRPr="003C528A">
        <w:t xml:space="preserve"> solutions to the above policy objectives</w:t>
      </w:r>
      <w:r w:rsidRPr="003C528A">
        <w:t>:</w:t>
      </w:r>
      <w:r w:rsidR="002921A4" w:rsidRPr="003C528A">
        <w:t>.</w:t>
      </w:r>
    </w:p>
    <w:p w14:paraId="298522B5" w14:textId="74A56436" w:rsidR="003A2466" w:rsidRPr="003C528A" w:rsidRDefault="003A2466" w:rsidP="003A2466">
      <w:r w:rsidRPr="003C528A">
        <w:t xml:space="preserve">Besides traditional debt and equity financing there is a growing use of </w:t>
      </w:r>
      <w:r w:rsidRPr="003C528A">
        <w:rPr>
          <w:b/>
        </w:rPr>
        <w:t>public-private partnership (PPP)</w:t>
      </w:r>
      <w:r w:rsidRPr="003C528A">
        <w:t xml:space="preserve"> arrangements. PPPs are cooperation agreements between a public body and private-sector body under which the parties’ respective skills are pooled to build, operate and maintain of public works or carry out projects of public interest for the management of the related services. PPP contracts involve transferring certain risks to the private sector and specifying performance outputs, rather than inputs. When properly structured and well controlled, PPP can benefit both the public authority and the private party with positive spillovers to the final beneficiary of the infrastructure or of the service. </w:t>
      </w:r>
      <w:r w:rsidR="00A63126">
        <w:t>PPPs under InvestEU should not end up being costlier for public investments than had the investment been undertaken solely by public money.</w:t>
      </w:r>
    </w:p>
    <w:p w14:paraId="7DB31317" w14:textId="68EA0493" w:rsidR="006526ED" w:rsidRPr="003C528A" w:rsidRDefault="006526ED" w:rsidP="006526ED">
      <w:r w:rsidRPr="003C528A">
        <w:lastRenderedPageBreak/>
        <w:t xml:space="preserve">In addition, support under pilot Social Outcome Contracting (SOC) schemes could be considered, </w:t>
      </w:r>
      <w:r w:rsidR="003C528A">
        <w:t>depending</w:t>
      </w:r>
      <w:r w:rsidRPr="003C528A">
        <w:t xml:space="preserve"> on </w:t>
      </w:r>
      <w:r w:rsidR="00E664DC" w:rsidRPr="00BB3757">
        <w:t xml:space="preserve">the results of ongoing pilot </w:t>
      </w:r>
      <w:r w:rsidRPr="003C528A">
        <w:t>schemes deployed under current EU-level financial instruments. SOC refers to mechanisms that innovate the procurement and delivery of social services in the area</w:t>
      </w:r>
      <w:r w:rsidRPr="00BB3757">
        <w:t>s</w:t>
      </w:r>
      <w:r w:rsidRPr="003C528A">
        <w:t xml:space="preserve"> of social inclusion</w:t>
      </w:r>
      <w:r w:rsidRPr="00BB3757">
        <w:t>,</w:t>
      </w:r>
      <w:r w:rsidRPr="003C528A">
        <w:t xml:space="preserve"> employment activation, education and reinsertion</w:t>
      </w:r>
      <w:r w:rsidRPr="00BB3757">
        <w:t>, migration, housing,</w:t>
      </w:r>
      <w:r w:rsidRPr="003C528A">
        <w:t xml:space="preserve"> health</w:t>
      </w:r>
      <w:r w:rsidRPr="00BB3757">
        <w:t xml:space="preserve"> and care, childcare and skills upgrading</w:t>
      </w:r>
      <w:r w:rsidRPr="003C528A">
        <w:t xml:space="preserve">. SOC comprises various financing schemes, such as Payment by Results contracting, Social Impact Bonds (SIBs). </w:t>
      </w:r>
    </w:p>
    <w:p w14:paraId="59F04494" w14:textId="2DB40E4C" w:rsidR="006526ED" w:rsidRPr="003C528A" w:rsidRDefault="006526ED" w:rsidP="006526ED">
      <w:r w:rsidRPr="003C528A">
        <w:t xml:space="preserve">SOC schemes </w:t>
      </w:r>
      <w:r w:rsidR="003C528A">
        <w:t xml:space="preserve">could potentially </w:t>
      </w:r>
      <w:r w:rsidRPr="003C528A">
        <w:t>provide an opportunity to test innovative methods of procurement</w:t>
      </w:r>
      <w:r w:rsidR="003C528A">
        <w:t xml:space="preserve"> and</w:t>
      </w:r>
      <w:r w:rsidRPr="003C528A">
        <w:t xml:space="preserve"> foster inter-</w:t>
      </w:r>
      <w:r w:rsidR="003C528A">
        <w:t>depart</w:t>
      </w:r>
      <w:r w:rsidRPr="003C528A">
        <w:t>mental collaboration on one hand, and on the other, promote the culture of performance measurement.</w:t>
      </w:r>
    </w:p>
    <w:p w14:paraId="7183B8E8" w14:textId="71C13239" w:rsidR="006526ED" w:rsidRPr="003C528A" w:rsidRDefault="006526ED" w:rsidP="006526ED"/>
    <w:p w14:paraId="61676553" w14:textId="77777777" w:rsidR="006526ED" w:rsidRPr="003C528A" w:rsidRDefault="006526ED" w:rsidP="003A2466"/>
    <w:p w14:paraId="6D9CB6F2" w14:textId="6A0D9629" w:rsidR="003A2466" w:rsidRPr="003C528A" w:rsidRDefault="003A2466" w:rsidP="00D245D5"/>
    <w:p w14:paraId="1722BBFB" w14:textId="26469EFA" w:rsidR="00411CD3" w:rsidRPr="003C528A" w:rsidRDefault="00A7627C" w:rsidP="00EE08A0">
      <w:r w:rsidRPr="003C528A">
        <w:t xml:space="preserve"> </w:t>
      </w:r>
    </w:p>
    <w:p w14:paraId="5EB8AF9F" w14:textId="13B064A8" w:rsidR="00EE08A0" w:rsidRDefault="00EE08A0" w:rsidP="00EE08A0">
      <w:pPr>
        <w:jc w:val="center"/>
      </w:pPr>
      <w:r w:rsidRPr="003C528A">
        <w:t>***</w:t>
      </w:r>
    </w:p>
    <w:sectPr w:rsidR="00EE08A0" w:rsidSect="003505C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CA284" w16cid:durableId="21079D8D"/>
  <w16cid:commentId w16cid:paraId="5A659913" w16cid:durableId="21079CD7"/>
  <w16cid:commentId w16cid:paraId="06AE5BAD" w16cid:durableId="21079CD8"/>
  <w16cid:commentId w16cid:paraId="118E2DF9" w16cid:durableId="21079C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7606" w14:textId="77777777" w:rsidR="00511F2F" w:rsidRDefault="00511F2F" w:rsidP="00FD0603">
      <w:pPr>
        <w:spacing w:after="0" w:line="240" w:lineRule="auto"/>
      </w:pPr>
      <w:r>
        <w:separator/>
      </w:r>
    </w:p>
  </w:endnote>
  <w:endnote w:type="continuationSeparator" w:id="0">
    <w:p w14:paraId="4B57D730" w14:textId="77777777" w:rsidR="00511F2F" w:rsidRDefault="00511F2F" w:rsidP="00FD0603">
      <w:pPr>
        <w:spacing w:after="0" w:line="240" w:lineRule="auto"/>
      </w:pPr>
      <w:r>
        <w:continuationSeparator/>
      </w:r>
    </w:p>
  </w:endnote>
  <w:endnote w:type="continuationNotice" w:id="1">
    <w:p w14:paraId="587763A6" w14:textId="77777777" w:rsidR="00511F2F" w:rsidRDefault="00511F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F980" w14:textId="77777777" w:rsidR="00511F2F" w:rsidRDefault="0051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963705"/>
      <w:docPartObj>
        <w:docPartGallery w:val="Page Numbers (Bottom of Page)"/>
        <w:docPartUnique/>
      </w:docPartObj>
    </w:sdtPr>
    <w:sdtEndPr>
      <w:rPr>
        <w:noProof/>
      </w:rPr>
    </w:sdtEndPr>
    <w:sdtContent>
      <w:p w14:paraId="398419CD" w14:textId="47E9B049" w:rsidR="00511F2F" w:rsidRDefault="00511F2F">
        <w:pPr>
          <w:pStyle w:val="Footer"/>
          <w:jc w:val="center"/>
        </w:pPr>
        <w:r>
          <w:fldChar w:fldCharType="begin"/>
        </w:r>
        <w:r>
          <w:instrText xml:space="preserve"> PAGE   \* MERGEFORMAT </w:instrText>
        </w:r>
        <w:r>
          <w:fldChar w:fldCharType="separate"/>
        </w:r>
        <w:r w:rsidR="00163D55">
          <w:rPr>
            <w:noProof/>
          </w:rPr>
          <w:t>1</w:t>
        </w:r>
        <w:r>
          <w:rPr>
            <w:noProof/>
          </w:rPr>
          <w:fldChar w:fldCharType="end"/>
        </w:r>
      </w:p>
    </w:sdtContent>
  </w:sdt>
  <w:p w14:paraId="1BDEB254" w14:textId="77777777" w:rsidR="00511F2F" w:rsidRDefault="00511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7C240" w14:textId="77777777" w:rsidR="00511F2F" w:rsidRDefault="0051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687BB" w14:textId="77777777" w:rsidR="00511F2F" w:rsidRDefault="00511F2F" w:rsidP="00FD0603">
      <w:pPr>
        <w:spacing w:after="0" w:line="240" w:lineRule="auto"/>
      </w:pPr>
      <w:r>
        <w:separator/>
      </w:r>
    </w:p>
  </w:footnote>
  <w:footnote w:type="continuationSeparator" w:id="0">
    <w:p w14:paraId="2864B161" w14:textId="77777777" w:rsidR="00511F2F" w:rsidRDefault="00511F2F" w:rsidP="00FD0603">
      <w:pPr>
        <w:spacing w:after="0" w:line="240" w:lineRule="auto"/>
      </w:pPr>
      <w:r>
        <w:continuationSeparator/>
      </w:r>
    </w:p>
  </w:footnote>
  <w:footnote w:type="continuationNotice" w:id="1">
    <w:p w14:paraId="1CADF7C6" w14:textId="77777777" w:rsidR="00511F2F" w:rsidRDefault="00511F2F">
      <w:pPr>
        <w:spacing w:after="0" w:line="240" w:lineRule="auto"/>
      </w:pPr>
    </w:p>
  </w:footnote>
  <w:footnote w:id="2">
    <w:p w14:paraId="4187CF66" w14:textId="77777777" w:rsidR="00511F2F" w:rsidRPr="005B0C0D" w:rsidRDefault="00511F2F" w:rsidP="003A0D24">
      <w:pPr>
        <w:pStyle w:val="FootnoteText"/>
        <w:rPr>
          <w:lang w:val="en-US"/>
        </w:rPr>
      </w:pPr>
      <w:r>
        <w:rPr>
          <w:rStyle w:val="FootnoteReference"/>
        </w:rPr>
        <w:footnoteRef/>
      </w:r>
      <w:r w:rsidRPr="005B0C0D">
        <w:rPr>
          <w:lang w:val="en-US"/>
        </w:rPr>
        <w:t xml:space="preserve"> </w:t>
      </w:r>
      <w:r w:rsidRPr="00024978">
        <w:rPr>
          <w:lang w:val="en-US"/>
        </w:rPr>
        <w:t>'</w:t>
      </w:r>
      <w:r>
        <w:rPr>
          <w:lang w:val="en-US"/>
        </w:rPr>
        <w:t>M</w:t>
      </w:r>
      <w:r w:rsidRPr="00024978">
        <w:rPr>
          <w:lang w:val="en-US"/>
        </w:rPr>
        <w:t>icrofinance' includes guarantees, microcredit, equity and quasi-equity, coupled with accompanying business development services such as in the form of individual counselling, training and mentoring, extended to persons and micro-enterprises that experience difficulties accessing credit for the purpose of professional and/or revenue-generating activities”; Proposal for a Regulation of the European Parliament and the Council on the European Social Fund</w:t>
      </w:r>
      <w:r>
        <w:rPr>
          <w:lang w:val="en-US"/>
        </w:rPr>
        <w:t xml:space="preserve"> Plus</w:t>
      </w:r>
      <w:r w:rsidRPr="00024978">
        <w:rPr>
          <w:lang w:val="en-US"/>
        </w:rPr>
        <w:t xml:space="preserve"> (ESF+), 30</w:t>
      </w:r>
      <w:r>
        <w:rPr>
          <w:lang w:val="en-US"/>
        </w:rPr>
        <w:t xml:space="preserve"> May </w:t>
      </w:r>
      <w:r w:rsidRPr="00024978">
        <w:rPr>
          <w:lang w:val="en-US"/>
        </w:rPr>
        <w:t>2018</w:t>
      </w:r>
    </w:p>
  </w:footnote>
  <w:footnote w:id="3">
    <w:p w14:paraId="122C4916" w14:textId="77777777" w:rsidR="00511F2F" w:rsidRPr="00A361C9" w:rsidRDefault="00511F2F" w:rsidP="003A0D24">
      <w:pPr>
        <w:pStyle w:val="FootnoteText"/>
      </w:pPr>
      <w:r>
        <w:rPr>
          <w:rStyle w:val="FootnoteReference"/>
        </w:rPr>
        <w:footnoteRef/>
      </w:r>
      <w:r w:rsidRPr="00A361C9">
        <w:t xml:space="preserve"> </w:t>
      </w:r>
      <w:r>
        <w:t>“</w:t>
      </w:r>
      <w:r w:rsidRPr="001333AB">
        <w:t>micro-enterprise' means an enterprise with fewer than 10 employees and an annual</w:t>
      </w:r>
      <w:r>
        <w:t xml:space="preserve"> </w:t>
      </w:r>
      <w:r w:rsidRPr="001333AB">
        <w:t>turnover or ba</w:t>
      </w:r>
      <w:r>
        <w:t>lance sheet below EUR 2 000 000”; idem.</w:t>
      </w:r>
    </w:p>
  </w:footnote>
  <w:footnote w:id="4">
    <w:p w14:paraId="47FC79FA" w14:textId="77777777" w:rsidR="00511F2F" w:rsidRPr="00795841" w:rsidRDefault="00511F2F" w:rsidP="003A0D24">
      <w:pPr>
        <w:pStyle w:val="FootnoteText"/>
        <w:rPr>
          <w:lang w:val="en-US"/>
        </w:rPr>
      </w:pPr>
      <w:r>
        <w:rPr>
          <w:rStyle w:val="FootnoteReference"/>
        </w:rPr>
        <w:footnoteRef/>
      </w:r>
      <w:r w:rsidRPr="00795841">
        <w:rPr>
          <w:lang w:val="en-US"/>
        </w:rPr>
        <w:t xml:space="preserve"> </w:t>
      </w:r>
      <w:hyperlink r:id="rId1" w:history="1">
        <w:r w:rsidRPr="00344A4B">
          <w:rPr>
            <w:rStyle w:val="Hyperlink"/>
            <w:lang w:val="en-US"/>
          </w:rPr>
          <w:t>http://www.eib.org/about/economic-research/eib-investment-report.htm</w:t>
        </w:r>
      </w:hyperlink>
    </w:p>
  </w:footnote>
  <w:footnote w:id="5">
    <w:p w14:paraId="53930012" w14:textId="77777777" w:rsidR="00511F2F" w:rsidRPr="00A361C9" w:rsidRDefault="00511F2F" w:rsidP="003A0D24">
      <w:pPr>
        <w:pStyle w:val="FootnoteText"/>
        <w:rPr>
          <w:lang w:val="en-IE"/>
        </w:rPr>
      </w:pPr>
      <w:r>
        <w:rPr>
          <w:rStyle w:val="FootnoteReference"/>
        </w:rPr>
        <w:footnoteRef/>
      </w:r>
      <w:r w:rsidRPr="00A361C9">
        <w:rPr>
          <w:lang w:val="en-IE"/>
        </w:rPr>
        <w:t xml:space="preserve"> </w:t>
      </w:r>
      <w:r w:rsidRPr="00E76234">
        <w:rPr>
          <w:lang w:val="en-IE"/>
        </w:rPr>
        <w:t>European Commission (forthcoming) “</w:t>
      </w:r>
      <w:r>
        <w:rPr>
          <w:lang w:val="en-IE"/>
        </w:rPr>
        <w:t>Microfinance</w:t>
      </w:r>
      <w:r w:rsidRPr="00E76234">
        <w:rPr>
          <w:lang w:val="en-IE"/>
        </w:rPr>
        <w:t xml:space="preserve"> Market Analysis and Recommendations for Delivery Options”</w:t>
      </w:r>
    </w:p>
  </w:footnote>
  <w:footnote w:id="6">
    <w:p w14:paraId="4976839C" w14:textId="77777777" w:rsidR="00511F2F" w:rsidRPr="00A361C9" w:rsidRDefault="00511F2F" w:rsidP="003A0D24">
      <w:pPr>
        <w:pStyle w:val="FootnoteText"/>
        <w:rPr>
          <w:lang w:val="en-IE"/>
        </w:rPr>
      </w:pPr>
      <w:r>
        <w:rPr>
          <w:rStyle w:val="FootnoteReference"/>
        </w:rPr>
        <w:footnoteRef/>
      </w:r>
      <w:r w:rsidRPr="00A361C9">
        <w:rPr>
          <w:lang w:val="en-IE"/>
        </w:rPr>
        <w:t xml:space="preserve"> </w:t>
      </w:r>
      <w:r>
        <w:rPr>
          <w:lang w:val="en-IE"/>
        </w:rPr>
        <w:t>European Commission (forthcoming) “</w:t>
      </w:r>
      <w:r w:rsidRPr="00795841">
        <w:rPr>
          <w:lang w:val="en-IE"/>
        </w:rPr>
        <w:t xml:space="preserve">Social Enterprise Finance Market Analysis and Recommendations for Delivery Options” </w:t>
      </w:r>
    </w:p>
  </w:footnote>
  <w:footnote w:id="7">
    <w:p w14:paraId="62A3E60A" w14:textId="77777777" w:rsidR="00511F2F" w:rsidRPr="00A361C9" w:rsidRDefault="00511F2F" w:rsidP="003A0D24">
      <w:pPr>
        <w:pStyle w:val="FootnoteText"/>
        <w:rPr>
          <w:lang w:val="en-IE"/>
        </w:rPr>
      </w:pPr>
      <w:r>
        <w:rPr>
          <w:rStyle w:val="FootnoteReference"/>
        </w:rPr>
        <w:footnoteRef/>
      </w:r>
      <w:r w:rsidRPr="00A361C9">
        <w:rPr>
          <w:lang w:val="en-IE"/>
        </w:rPr>
        <w:t xml:space="preserve"> </w:t>
      </w:r>
      <w:r>
        <w:rPr>
          <w:lang w:val="en-IE"/>
        </w:rPr>
        <w:t>European Commission (2014) “</w:t>
      </w:r>
      <w:r w:rsidRPr="00A361C9">
        <w:rPr>
          <w:lang w:val="en-IE"/>
        </w:rPr>
        <w:t>Imperfections in t</w:t>
      </w:r>
      <w:r>
        <w:rPr>
          <w:lang w:val="en-IE"/>
        </w:rPr>
        <w:t>he social investment market and</w:t>
      </w:r>
      <w:r w:rsidRPr="00A361C9">
        <w:rPr>
          <w:lang w:val="en-IE"/>
        </w:rPr>
        <w:t xml:space="preserve"> options on how to address them</w:t>
      </w:r>
      <w:r>
        <w:rPr>
          <w:lang w:val="en-IE"/>
        </w:rPr>
        <w:t>”</w:t>
      </w:r>
      <w:r w:rsidRPr="00A361C9">
        <w:rPr>
          <w:lang w:val="en-IE"/>
        </w:rPr>
        <w:t>, KE-02-14-002-EN-N</w:t>
      </w:r>
    </w:p>
  </w:footnote>
  <w:footnote w:id="8">
    <w:p w14:paraId="14D868BC" w14:textId="77777777" w:rsidR="00511F2F" w:rsidRPr="00D64EBA" w:rsidRDefault="00511F2F" w:rsidP="003A0D24">
      <w:pPr>
        <w:pStyle w:val="FootnoteText"/>
        <w:rPr>
          <w:lang w:val="en-IE"/>
        </w:rPr>
      </w:pPr>
      <w:r>
        <w:rPr>
          <w:rStyle w:val="FootnoteReference"/>
        </w:rPr>
        <w:footnoteRef/>
      </w:r>
      <w:r w:rsidRPr="00D64EBA">
        <w:rPr>
          <w:lang w:val="en-IE"/>
        </w:rPr>
        <w:t xml:space="preserve"> Idem.</w:t>
      </w:r>
    </w:p>
  </w:footnote>
  <w:footnote w:id="9">
    <w:p w14:paraId="33AB875F" w14:textId="77777777" w:rsidR="00511F2F" w:rsidRPr="000D089B" w:rsidRDefault="00511F2F" w:rsidP="003A0D24">
      <w:pPr>
        <w:pStyle w:val="FootnoteText"/>
      </w:pPr>
      <w:r>
        <w:rPr>
          <w:rStyle w:val="FootnoteReference"/>
        </w:rPr>
        <w:footnoteRef/>
      </w:r>
      <w:r w:rsidRPr="000D089B">
        <w:t xml:space="preserve"> </w:t>
      </w:r>
      <w:r>
        <w:rPr>
          <w:lang w:val="en-IE"/>
        </w:rPr>
        <w:t>European Commission (fort</w:t>
      </w:r>
      <w:r w:rsidRPr="000D089B">
        <w:rPr>
          <w:lang w:val="en-IE"/>
        </w:rPr>
        <w:t xml:space="preserve">hcoming) </w:t>
      </w:r>
      <w:r>
        <w:rPr>
          <w:lang w:val="en-IE"/>
        </w:rPr>
        <w:t>“</w:t>
      </w:r>
      <w:r w:rsidRPr="000D089B">
        <w:rPr>
          <w:lang w:val="en-IE"/>
        </w:rPr>
        <w:t>Social Enterprise Finance Market Analysis and Recommendations for Delivery Options</w:t>
      </w:r>
      <w:r>
        <w:rPr>
          <w:lang w:val="en-IE"/>
        </w:rPr>
        <w:t>”</w:t>
      </w:r>
    </w:p>
  </w:footnote>
  <w:footnote w:id="10">
    <w:p w14:paraId="269483A3" w14:textId="77777777" w:rsidR="00DE4B2A" w:rsidRPr="00BF2CCF" w:rsidRDefault="00DE4B2A" w:rsidP="00DE4B2A">
      <w:pPr>
        <w:pStyle w:val="FootnoteText"/>
        <w:rPr>
          <w:rFonts w:ascii="Futura Lt BT" w:hAnsi="Futura Lt BT"/>
          <w:sz w:val="16"/>
          <w:szCs w:val="16"/>
        </w:rPr>
      </w:pPr>
      <w:r w:rsidRPr="00BF2CCF">
        <w:rPr>
          <w:rStyle w:val="FootnoteReference"/>
          <w:rFonts w:ascii="Futura Lt BT" w:hAnsi="Futura Lt BT"/>
          <w:sz w:val="16"/>
          <w:szCs w:val="16"/>
        </w:rPr>
        <w:footnoteRef/>
      </w:r>
      <w:r w:rsidRPr="00BF2CCF">
        <w:rPr>
          <w:rFonts w:ascii="Futura Lt BT" w:hAnsi="Futura Lt BT"/>
          <w:sz w:val="16"/>
          <w:szCs w:val="16"/>
        </w:rPr>
        <w:t xml:space="preserve"> An in-depth analysis of adult learning policies and their effectiveness in European (2015)</w:t>
      </w:r>
    </w:p>
    <w:p w14:paraId="2A8ADC55" w14:textId="77777777" w:rsidR="00DE4B2A" w:rsidRPr="00BF2CCF" w:rsidRDefault="00163D55" w:rsidP="00DE4B2A">
      <w:pPr>
        <w:pStyle w:val="FootnoteText"/>
        <w:rPr>
          <w:rFonts w:ascii="Futura Lt BT" w:hAnsi="Futura Lt BT"/>
          <w:sz w:val="16"/>
          <w:szCs w:val="16"/>
        </w:rPr>
      </w:pPr>
      <w:hyperlink r:id="rId2" w:history="1">
        <w:r w:rsidR="00DE4B2A" w:rsidRPr="00BF2CCF">
          <w:rPr>
            <w:rStyle w:val="Hyperlink"/>
            <w:rFonts w:ascii="Futura Lt BT" w:hAnsi="Futura Lt BT"/>
            <w:sz w:val="16"/>
            <w:szCs w:val="16"/>
          </w:rPr>
          <w:t>https://ec.europa.eu/epale/sites/epale/files/all_in-depth_analysis_of_adult_learning_policies_and_their_effectiveness_in_europe_12.11.2015_pdf.pdf</w:t>
        </w:r>
      </w:hyperlink>
    </w:p>
    <w:p w14:paraId="2C3373BC" w14:textId="77777777" w:rsidR="00DE4B2A" w:rsidRPr="00BF2CCF" w:rsidRDefault="00DE4B2A" w:rsidP="00DE4B2A">
      <w:pPr>
        <w:pStyle w:val="FootnoteText"/>
        <w:rPr>
          <w:rFonts w:ascii="Futura Lt BT" w:hAnsi="Futura Lt BT"/>
          <w:sz w:val="16"/>
          <w:szCs w:val="16"/>
        </w:rPr>
      </w:pPr>
    </w:p>
  </w:footnote>
  <w:footnote w:id="11">
    <w:p w14:paraId="6778A1B5" w14:textId="77777777" w:rsidR="00DE4B2A" w:rsidRPr="00167AD1" w:rsidRDefault="00DE4B2A" w:rsidP="00DE4B2A">
      <w:pPr>
        <w:pStyle w:val="FootnoteText"/>
        <w:rPr>
          <w:rFonts w:ascii="Futura Lt BT" w:hAnsi="Futura Lt BT"/>
          <w:sz w:val="16"/>
          <w:szCs w:val="16"/>
        </w:rPr>
      </w:pPr>
      <w:r w:rsidRPr="00BC630E">
        <w:rPr>
          <w:rStyle w:val="FootnoteReference"/>
          <w:rFonts w:ascii="Futura Lt BT" w:hAnsi="Futura Lt BT"/>
          <w:sz w:val="16"/>
          <w:szCs w:val="16"/>
        </w:rPr>
        <w:footnoteRef/>
      </w:r>
      <w:r w:rsidRPr="00BC630E">
        <w:rPr>
          <w:rFonts w:ascii="Futura Lt BT" w:hAnsi="Futura Lt BT"/>
          <w:sz w:val="16"/>
          <w:szCs w:val="16"/>
        </w:rPr>
        <w:t xml:space="preserve"> </w:t>
      </w:r>
      <w:r w:rsidRPr="00167AD1">
        <w:rPr>
          <w:rFonts w:ascii="Futura Lt BT" w:hAnsi="Futura Lt BT"/>
          <w:sz w:val="16"/>
          <w:szCs w:val="16"/>
        </w:rPr>
        <w:t>European Expert Network o</w:t>
      </w:r>
      <w:r>
        <w:rPr>
          <w:rFonts w:ascii="Futura Lt BT" w:hAnsi="Futura Lt BT"/>
          <w:sz w:val="16"/>
          <w:szCs w:val="16"/>
        </w:rPr>
        <w:t>n Economics of Education</w:t>
      </w:r>
      <w:r w:rsidRPr="00167AD1">
        <w:rPr>
          <w:rFonts w:ascii="Futura Lt BT" w:hAnsi="Futura Lt BT"/>
          <w:sz w:val="16"/>
          <w:szCs w:val="16"/>
        </w:rPr>
        <w:t xml:space="preserve">: </w:t>
      </w:r>
      <w:r>
        <w:rPr>
          <w:rFonts w:ascii="Futura Lt BT" w:hAnsi="Futura Lt BT"/>
          <w:sz w:val="16"/>
          <w:szCs w:val="16"/>
        </w:rPr>
        <w:t xml:space="preserve">EENEE Policy Brief  5/2014: </w:t>
      </w:r>
      <w:r w:rsidRPr="00167AD1">
        <w:rPr>
          <w:rFonts w:ascii="Futura Lt BT" w:hAnsi="Futura Lt BT"/>
          <w:sz w:val="16"/>
          <w:szCs w:val="16"/>
        </w:rPr>
        <w:t>The Economic Case for Education</w:t>
      </w:r>
      <w:r>
        <w:rPr>
          <w:rFonts w:ascii="Futura Lt BT" w:hAnsi="Futura Lt BT"/>
          <w:sz w:val="16"/>
          <w:szCs w:val="16"/>
        </w:rPr>
        <w:t xml:space="preserve"> (2014)</w:t>
      </w:r>
    </w:p>
  </w:footnote>
  <w:footnote w:id="12">
    <w:p w14:paraId="3376A38C" w14:textId="77777777" w:rsidR="00511F2F" w:rsidRPr="00C07E8D" w:rsidRDefault="00511F2F" w:rsidP="009F5A43">
      <w:pPr>
        <w:pStyle w:val="FootnoteText"/>
      </w:pPr>
      <w:r w:rsidRPr="00DE122A">
        <w:rPr>
          <w:rStyle w:val="FootnoteReference"/>
          <w:rFonts w:ascii="Futura Lt BT" w:hAnsi="Futura Lt BT"/>
          <w:sz w:val="16"/>
          <w:szCs w:val="16"/>
        </w:rPr>
        <w:footnoteRef/>
      </w:r>
      <w:r>
        <w:t xml:space="preserve"> </w:t>
      </w:r>
      <w:r w:rsidRPr="00A31691">
        <w:rPr>
          <w:rFonts w:ascii="Futura Lt BT" w:hAnsi="Futura Lt BT"/>
          <w:sz w:val="16"/>
          <w:szCs w:val="16"/>
        </w:rPr>
        <w:t>Based on the data from OECD Survey of Adult Skills (PIAAC)</w:t>
      </w:r>
    </w:p>
  </w:footnote>
  <w:footnote w:id="13">
    <w:p w14:paraId="696CF598" w14:textId="77777777" w:rsidR="00511F2F" w:rsidRPr="00352518" w:rsidRDefault="00511F2F" w:rsidP="009F5A43">
      <w:pPr>
        <w:pStyle w:val="FootnoteText"/>
        <w:rPr>
          <w:rFonts w:ascii="Futura Lt BT" w:hAnsi="Futura Lt BT"/>
          <w:sz w:val="16"/>
          <w:szCs w:val="16"/>
          <w:lang w:val="en-US"/>
        </w:rPr>
      </w:pPr>
      <w:r w:rsidRPr="00352518">
        <w:rPr>
          <w:rStyle w:val="FootnoteReference"/>
          <w:rFonts w:ascii="Futura Lt BT" w:hAnsi="Futura Lt BT"/>
          <w:sz w:val="16"/>
          <w:szCs w:val="16"/>
        </w:rPr>
        <w:footnoteRef/>
      </w:r>
      <w:r w:rsidRPr="00352518">
        <w:rPr>
          <w:rFonts w:ascii="Futura Lt BT" w:hAnsi="Futura Lt BT"/>
          <w:sz w:val="16"/>
          <w:szCs w:val="16"/>
        </w:rPr>
        <w:t xml:space="preserve"> </w:t>
      </w:r>
      <w:r>
        <w:rPr>
          <w:rFonts w:ascii="Futura Lt BT" w:hAnsi="Futura Lt BT"/>
          <w:sz w:val="16"/>
          <w:szCs w:val="16"/>
          <w:lang w:val="en-US"/>
        </w:rPr>
        <w:t>Education and Training Monitor 2018</w:t>
      </w:r>
    </w:p>
    <w:p w14:paraId="1416A9DA" w14:textId="77777777" w:rsidR="00511F2F" w:rsidRPr="00352518" w:rsidRDefault="00511F2F" w:rsidP="009F5A43">
      <w:pPr>
        <w:pStyle w:val="FootnoteText"/>
        <w:rPr>
          <w:rFonts w:ascii="Futura Lt BT" w:hAnsi="Futura Lt BT"/>
          <w:sz w:val="16"/>
          <w:szCs w:val="16"/>
          <w:lang w:val="en-US"/>
        </w:rPr>
      </w:pPr>
      <w:r w:rsidRPr="00A8475F">
        <w:rPr>
          <w:rStyle w:val="Hyperlink"/>
          <w:rFonts w:ascii="Futura Lt BT" w:hAnsi="Futura Lt BT"/>
          <w:sz w:val="16"/>
          <w:szCs w:val="16"/>
          <w:lang w:val="en-US"/>
        </w:rPr>
        <w:t>https://ec.europa.eu/education/sites/education/files/document-library-docs/volume-1-2018-education-and-training-monitor-country-analysis.pdf</w:t>
      </w:r>
      <w:r>
        <w:rPr>
          <w:rStyle w:val="Hyperlink"/>
          <w:rFonts w:ascii="Futura Lt BT" w:hAnsi="Futura Lt BT"/>
          <w:sz w:val="16"/>
          <w:szCs w:val="16"/>
          <w:lang w:val="en-US"/>
        </w:rPr>
        <w:t xml:space="preserve"> </w:t>
      </w:r>
    </w:p>
  </w:footnote>
  <w:footnote w:id="14">
    <w:p w14:paraId="447EDDAC" w14:textId="77777777" w:rsidR="00511F2F" w:rsidRPr="00453855" w:rsidRDefault="00511F2F" w:rsidP="009F5A43">
      <w:pPr>
        <w:pStyle w:val="FootnoteText"/>
        <w:rPr>
          <w:rFonts w:ascii="Futura Lt BT" w:hAnsi="Futura Lt BT"/>
          <w:sz w:val="16"/>
          <w:szCs w:val="16"/>
          <w:lang w:val="en-US"/>
        </w:rPr>
      </w:pPr>
      <w:r>
        <w:rPr>
          <w:rStyle w:val="FootnoteReference"/>
        </w:rPr>
        <w:footnoteRef/>
      </w:r>
      <w:r>
        <w:t xml:space="preserve"> </w:t>
      </w:r>
      <w:r w:rsidRPr="00453855">
        <w:rPr>
          <w:rFonts w:ascii="Futura Lt BT" w:hAnsi="Futura Lt BT"/>
          <w:sz w:val="16"/>
          <w:szCs w:val="16"/>
          <w:lang w:val="en-US"/>
        </w:rPr>
        <w:t>Education and training monitor (2018)</w:t>
      </w:r>
    </w:p>
    <w:p w14:paraId="520AE248" w14:textId="77777777" w:rsidR="00511F2F" w:rsidRPr="00453855" w:rsidRDefault="00163D55" w:rsidP="009F5A43">
      <w:pPr>
        <w:pStyle w:val="FootnoteText"/>
        <w:rPr>
          <w:rStyle w:val="Hyperlink"/>
          <w:rFonts w:ascii="Futura Lt BT" w:hAnsi="Futura Lt BT"/>
          <w:sz w:val="16"/>
          <w:szCs w:val="16"/>
          <w:lang w:val="en-US"/>
        </w:rPr>
      </w:pPr>
      <w:hyperlink r:id="rId3" w:history="1">
        <w:r w:rsidR="00511F2F" w:rsidRPr="00453855">
          <w:rPr>
            <w:rStyle w:val="Hyperlink"/>
            <w:rFonts w:ascii="Futura Lt BT" w:hAnsi="Futura Lt BT"/>
            <w:sz w:val="16"/>
            <w:szCs w:val="16"/>
            <w:lang w:val="en-US"/>
          </w:rPr>
          <w:t>https://ec.europa.eu/education/sites/education/files/document-library-docs/volume-1-2018-education-and-training-monitor-country-analysis.pdf</w:t>
        </w:r>
      </w:hyperlink>
    </w:p>
    <w:p w14:paraId="0697B2FC" w14:textId="77777777" w:rsidR="00511F2F" w:rsidRPr="00341CE0" w:rsidRDefault="00511F2F" w:rsidP="009F5A43">
      <w:pPr>
        <w:pStyle w:val="FootnoteText"/>
      </w:pPr>
    </w:p>
  </w:footnote>
  <w:footnote w:id="15">
    <w:p w14:paraId="04BA2453" w14:textId="77777777" w:rsidR="00511F2F" w:rsidRPr="00DE13F5" w:rsidRDefault="00511F2F" w:rsidP="009F5A43">
      <w:pPr>
        <w:pStyle w:val="FootnoteText"/>
        <w:rPr>
          <w:rFonts w:ascii="Futura Lt BT" w:hAnsi="Futura Lt BT"/>
          <w:sz w:val="16"/>
          <w:szCs w:val="16"/>
        </w:rPr>
      </w:pPr>
      <w:r w:rsidRPr="00DE13F5">
        <w:rPr>
          <w:rStyle w:val="FootnoteReference"/>
          <w:rFonts w:ascii="Futura Lt BT" w:hAnsi="Futura Lt BT"/>
          <w:sz w:val="16"/>
          <w:szCs w:val="16"/>
        </w:rPr>
        <w:footnoteRef/>
      </w:r>
      <w:r w:rsidRPr="00DE13F5">
        <w:rPr>
          <w:rStyle w:val="FootnoteReference"/>
          <w:rFonts w:ascii="Futura Lt BT" w:hAnsi="Futura Lt BT"/>
          <w:sz w:val="16"/>
          <w:szCs w:val="16"/>
        </w:rPr>
        <w:t xml:space="preserve"> </w:t>
      </w:r>
      <w:r w:rsidRPr="00DE13F5">
        <w:rPr>
          <w:rFonts w:ascii="Futura Lt BT" w:hAnsi="Futura Lt BT"/>
          <w:sz w:val="16"/>
          <w:szCs w:val="16"/>
        </w:rPr>
        <w:t xml:space="preserve">Annual beneficiary survey </w:t>
      </w:r>
      <w:r w:rsidRPr="00EC09D8">
        <w:rPr>
          <w:rFonts w:ascii="Futura Lt BT" w:hAnsi="Futura Lt BT"/>
          <w:sz w:val="16"/>
          <w:szCs w:val="16"/>
        </w:rPr>
        <w:t xml:space="preserve">for </w:t>
      </w:r>
      <w:r w:rsidRPr="00DE13F5">
        <w:rPr>
          <w:rFonts w:ascii="Futura Lt BT" w:hAnsi="Futura Lt BT"/>
          <w:sz w:val="16"/>
          <w:szCs w:val="16"/>
        </w:rPr>
        <w:t>the Erasmus+ Student Loan Guarantee Facility, 2017</w:t>
      </w:r>
    </w:p>
  </w:footnote>
  <w:footnote w:id="16">
    <w:p w14:paraId="74102F29" w14:textId="77777777" w:rsidR="00511F2F" w:rsidRPr="00EC0F43" w:rsidRDefault="00511F2F" w:rsidP="009F5A43">
      <w:pPr>
        <w:pStyle w:val="FootnoteText"/>
        <w:rPr>
          <w:sz w:val="16"/>
          <w:szCs w:val="16"/>
        </w:rPr>
      </w:pPr>
      <w:r w:rsidRPr="00BF6774">
        <w:rPr>
          <w:rStyle w:val="FootnoteReference"/>
          <w:sz w:val="16"/>
          <w:szCs w:val="16"/>
        </w:rPr>
        <w:footnoteRef/>
      </w:r>
      <w:r w:rsidRPr="00BF6774">
        <w:rPr>
          <w:sz w:val="16"/>
          <w:szCs w:val="16"/>
        </w:rPr>
        <w:t xml:space="preserve"> </w:t>
      </w:r>
      <w:r w:rsidRPr="00E82D13">
        <w:rPr>
          <w:rFonts w:ascii="Futura Lt BT" w:hAnsi="Futura Lt BT"/>
          <w:spacing w:val="-2"/>
          <w:sz w:val="16"/>
          <w:szCs w:val="16"/>
        </w:rPr>
        <w:t>European Commission (2018) Erasmus+ mid-term evaluation - Final report: evaluation of the student loan guarantee facility (Volume 2).</w:t>
      </w:r>
    </w:p>
  </w:footnote>
  <w:footnote w:id="17">
    <w:p w14:paraId="2BEE1BC7" w14:textId="77777777" w:rsidR="00511F2F" w:rsidRPr="00C027AC" w:rsidRDefault="00511F2F" w:rsidP="009F5A43">
      <w:pPr>
        <w:pStyle w:val="FootnoteText"/>
      </w:pPr>
      <w:r w:rsidRPr="005A5960">
        <w:rPr>
          <w:rStyle w:val="FootnoteReference"/>
        </w:rPr>
        <w:footnoteRef/>
      </w:r>
      <w:r w:rsidRPr="00C027AC">
        <w:t xml:space="preserve"> Eurostat, Adult Education Survey</w:t>
      </w:r>
    </w:p>
  </w:footnote>
  <w:footnote w:id="18">
    <w:p w14:paraId="68AC59B6" w14:textId="77777777" w:rsidR="00511F2F" w:rsidRDefault="00511F2F" w:rsidP="009F5A43">
      <w:pPr>
        <w:pStyle w:val="FootnoteText"/>
        <w:rPr>
          <w:rFonts w:ascii="Futura Lt BT" w:hAnsi="Futura Lt BT"/>
          <w:sz w:val="16"/>
          <w:szCs w:val="16"/>
          <w:lang w:val="en-US"/>
        </w:rPr>
      </w:pPr>
      <w:r w:rsidRPr="005A5960">
        <w:rPr>
          <w:rStyle w:val="FootnoteReference"/>
          <w:rFonts w:ascii="Futura Lt BT" w:hAnsi="Futura Lt BT"/>
          <w:sz w:val="16"/>
          <w:szCs w:val="16"/>
        </w:rPr>
        <w:footnoteRef/>
      </w:r>
      <w:r w:rsidRPr="005A5960">
        <w:t xml:space="preserve"> </w:t>
      </w:r>
      <w:r w:rsidRPr="005A5960">
        <w:rPr>
          <w:rFonts w:ascii="Futura Lt BT" w:hAnsi="Futura Lt BT"/>
          <w:sz w:val="16"/>
          <w:szCs w:val="16"/>
          <w:lang w:val="en-US"/>
        </w:rPr>
        <w:t>European Small Business Finance</w:t>
      </w:r>
      <w:r w:rsidRPr="00DE122A">
        <w:rPr>
          <w:rFonts w:ascii="Futura Lt BT" w:hAnsi="Futura Lt BT"/>
          <w:sz w:val="16"/>
          <w:szCs w:val="16"/>
          <w:lang w:val="en-US"/>
        </w:rPr>
        <w:t xml:space="preserve"> Outlook by EIF</w:t>
      </w:r>
    </w:p>
    <w:p w14:paraId="36FA92B4" w14:textId="77777777" w:rsidR="00511F2F" w:rsidRPr="00DE122A" w:rsidRDefault="00163D55" w:rsidP="009F5A43">
      <w:pPr>
        <w:pStyle w:val="FootnoteText"/>
        <w:rPr>
          <w:rFonts w:ascii="Futura Lt BT" w:hAnsi="Futura Lt BT"/>
          <w:sz w:val="16"/>
          <w:szCs w:val="16"/>
          <w:lang w:val="en-US"/>
        </w:rPr>
      </w:pPr>
      <w:hyperlink r:id="rId4" w:history="1">
        <w:r w:rsidR="00511F2F" w:rsidRPr="00270BB2">
          <w:rPr>
            <w:rStyle w:val="Hyperlink"/>
            <w:rFonts w:ascii="Futura Lt BT" w:hAnsi="Futura Lt BT"/>
            <w:sz w:val="16"/>
            <w:szCs w:val="16"/>
            <w:lang w:val="en-US"/>
          </w:rPr>
          <w:t>https://www.eif.org/news_centre/publications/eif_wp_37_esbfo_dec16_final.pdf</w:t>
        </w:r>
      </w:hyperlink>
    </w:p>
  </w:footnote>
  <w:footnote w:id="19">
    <w:p w14:paraId="45DAD955" w14:textId="77777777" w:rsidR="00511F2F" w:rsidRPr="00DE122A" w:rsidRDefault="00511F2F" w:rsidP="009F5A43">
      <w:pPr>
        <w:pStyle w:val="FootnoteText"/>
        <w:rPr>
          <w:rFonts w:ascii="Futura Lt BT" w:hAnsi="Futura Lt BT"/>
          <w:sz w:val="16"/>
          <w:szCs w:val="16"/>
          <w:lang w:val="en-US"/>
        </w:rPr>
      </w:pPr>
      <w:r w:rsidRPr="00DE122A">
        <w:rPr>
          <w:rStyle w:val="FootnoteReference"/>
          <w:rFonts w:ascii="Futura Lt BT" w:hAnsi="Futura Lt BT"/>
          <w:sz w:val="16"/>
          <w:szCs w:val="16"/>
        </w:rPr>
        <w:footnoteRef/>
      </w:r>
      <w:r>
        <w:t xml:space="preserve"> </w:t>
      </w:r>
      <w:r w:rsidRPr="00DE122A">
        <w:rPr>
          <w:rFonts w:ascii="Futura Lt BT" w:hAnsi="Futura Lt BT"/>
          <w:sz w:val="16"/>
          <w:szCs w:val="16"/>
          <w:lang w:val="en-US"/>
        </w:rPr>
        <w:t>SAFE, Access to Finance of Enterprises in the euro area, survey by DG GROW</w:t>
      </w:r>
    </w:p>
    <w:p w14:paraId="77D078D4" w14:textId="77777777" w:rsidR="00511F2F" w:rsidRPr="007F5CAC" w:rsidRDefault="00163D55" w:rsidP="009F5A43">
      <w:pPr>
        <w:pStyle w:val="FootnoteText"/>
      </w:pPr>
      <w:hyperlink r:id="rId5" w:anchor="toc10" w:history="1">
        <w:r w:rsidR="00511F2F" w:rsidRPr="00DE122A">
          <w:rPr>
            <w:rStyle w:val="Hyperlink"/>
            <w:rFonts w:ascii="Futura Lt BT" w:hAnsi="Futura Lt BT"/>
            <w:sz w:val="16"/>
            <w:szCs w:val="16"/>
          </w:rPr>
          <w:t>https://www.ecb.europa.eu/stats/ecb_surveys/safe/html/ecb.safe201905~082335a4d1.en.html#toc10</w:t>
        </w:r>
      </w:hyperlink>
    </w:p>
  </w:footnote>
  <w:footnote w:id="20">
    <w:p w14:paraId="13B84CE3" w14:textId="77777777" w:rsidR="00511F2F" w:rsidRPr="00BA0E29" w:rsidRDefault="00511F2F" w:rsidP="009F5A43">
      <w:pPr>
        <w:pStyle w:val="FootnoteText"/>
      </w:pPr>
      <w:r>
        <w:rPr>
          <w:rStyle w:val="FootnoteReference"/>
        </w:rPr>
        <w:footnoteRef/>
      </w:r>
      <w:r>
        <w:t xml:space="preserve"> </w:t>
      </w:r>
      <w:hyperlink r:id="rId6" w:history="1">
        <w:r w:rsidRPr="00BA0E29">
          <w:rPr>
            <w:rStyle w:val="Hyperlink"/>
            <w:rFonts w:ascii="Futura Lt BT" w:hAnsi="Futura Lt BT"/>
            <w:sz w:val="16"/>
            <w:szCs w:val="16"/>
          </w:rPr>
          <w:t>https://www.eib.org/en/about/economic-research/surveys-data/about-eibis.htm</w:t>
        </w:r>
      </w:hyperlink>
    </w:p>
  </w:footnote>
  <w:footnote w:id="21">
    <w:p w14:paraId="206A5B49" w14:textId="77777777" w:rsidR="00511F2F" w:rsidRPr="00450BA8" w:rsidRDefault="00511F2F" w:rsidP="009F5A43">
      <w:pPr>
        <w:pStyle w:val="FootnoteText"/>
        <w:rPr>
          <w:rFonts w:ascii="Futura Lt BT" w:hAnsi="Futura Lt BT"/>
          <w:sz w:val="18"/>
          <w:szCs w:val="18"/>
        </w:rPr>
      </w:pPr>
      <w:r w:rsidRPr="0096336D">
        <w:rPr>
          <w:rStyle w:val="FootnoteReference"/>
          <w:rFonts w:ascii="Futura Lt BT" w:hAnsi="Futura Lt BT"/>
          <w:sz w:val="16"/>
          <w:szCs w:val="16"/>
        </w:rPr>
        <w:footnoteRef/>
      </w:r>
      <w:r>
        <w:t xml:space="preserve"> </w:t>
      </w:r>
      <w:r w:rsidRPr="0096336D">
        <w:rPr>
          <w:rFonts w:ascii="Futura Lt BT" w:hAnsi="Futura Lt BT"/>
          <w:sz w:val="16"/>
          <w:szCs w:val="16"/>
        </w:rPr>
        <w:t>Cedefop,</w:t>
      </w:r>
      <w:r w:rsidRPr="00450BA8">
        <w:rPr>
          <w:rFonts w:ascii="Futura Lt BT" w:hAnsi="Futura Lt BT"/>
          <w:sz w:val="18"/>
          <w:szCs w:val="18"/>
        </w:rPr>
        <w:t xml:space="preserve"> </w:t>
      </w:r>
      <w:hyperlink r:id="rId7" w:history="1">
        <w:r w:rsidRPr="0096336D">
          <w:rPr>
            <w:rStyle w:val="Hyperlink"/>
            <w:rFonts w:ascii="Futura Lt BT" w:hAnsi="Futura Lt BT"/>
            <w:sz w:val="16"/>
            <w:szCs w:val="16"/>
          </w:rPr>
          <w:t>European skills &amp; jobs survey. Maximising skills for jobs and jobs for skills</w:t>
        </w:r>
      </w:hyperlink>
      <w:r>
        <w:rPr>
          <w:rFonts w:ascii="Futura Lt BT" w:hAnsi="Futura Lt BT"/>
          <w:sz w:val="18"/>
          <w:szCs w:val="18"/>
        </w:rPr>
        <w:t xml:space="preserve">, </w:t>
      </w:r>
      <w:r w:rsidRPr="0096336D">
        <w:rPr>
          <w:rFonts w:ascii="Futura Lt BT" w:hAnsi="Futura Lt BT"/>
          <w:sz w:val="16"/>
          <w:szCs w:val="16"/>
          <w:lang w:val="en-US"/>
        </w:rPr>
        <w:t>2015</w:t>
      </w:r>
    </w:p>
  </w:footnote>
  <w:footnote w:id="22">
    <w:p w14:paraId="2B3CC98D" w14:textId="77777777" w:rsidR="00511F2F" w:rsidRPr="0096336D" w:rsidRDefault="00511F2F" w:rsidP="009F5A43">
      <w:pPr>
        <w:pStyle w:val="FootnoteText"/>
        <w:rPr>
          <w:rFonts w:ascii="Futura Lt BT" w:hAnsi="Futura Lt BT"/>
          <w:sz w:val="16"/>
          <w:szCs w:val="16"/>
        </w:rPr>
      </w:pPr>
      <w:r w:rsidRPr="0096336D">
        <w:rPr>
          <w:rStyle w:val="FootnoteReference"/>
          <w:rFonts w:ascii="Futura Lt BT" w:hAnsi="Futura Lt BT"/>
          <w:sz w:val="16"/>
          <w:szCs w:val="16"/>
        </w:rPr>
        <w:footnoteRef/>
      </w:r>
      <w:r w:rsidRPr="0096336D">
        <w:rPr>
          <w:rFonts w:ascii="Futura Lt BT" w:hAnsi="Futura Lt BT"/>
          <w:sz w:val="16"/>
          <w:szCs w:val="16"/>
        </w:rPr>
        <w:t xml:space="preserve"> A New Skills Agenda for Europe: </w:t>
      </w:r>
      <w:hyperlink r:id="rId8" w:history="1">
        <w:r w:rsidRPr="0096336D">
          <w:rPr>
            <w:rStyle w:val="Hyperlink"/>
            <w:rFonts w:ascii="Futura Lt BT" w:hAnsi="Futura Lt BT"/>
            <w:sz w:val="16"/>
            <w:szCs w:val="16"/>
          </w:rPr>
          <w:t>https://eur-lex.europa.eu/legal-content/EN/TXT/PDF/?uri=CELEX:52016DC0381&amp;from=EN</w:t>
        </w:r>
      </w:hyperlink>
      <w:r w:rsidRPr="0096336D">
        <w:rPr>
          <w:rFonts w:ascii="Futura Lt BT" w:hAnsi="Futura Lt BT"/>
          <w:sz w:val="16"/>
          <w:szCs w:val="16"/>
        </w:rPr>
        <w:t xml:space="preserve"> </w:t>
      </w:r>
    </w:p>
  </w:footnote>
  <w:footnote w:id="23">
    <w:p w14:paraId="560CEB61" w14:textId="77777777" w:rsidR="00511F2F" w:rsidRPr="00C83F0A" w:rsidRDefault="00511F2F" w:rsidP="009F5A43">
      <w:pPr>
        <w:pStyle w:val="FootnoteText"/>
        <w:rPr>
          <w:rFonts w:ascii="Futura Lt BT" w:hAnsi="Futura Lt BT"/>
          <w:sz w:val="16"/>
          <w:szCs w:val="16"/>
        </w:rPr>
      </w:pPr>
      <w:r w:rsidRPr="00C83F0A">
        <w:rPr>
          <w:rStyle w:val="FootnoteReference"/>
          <w:rFonts w:ascii="Futura Lt BT" w:hAnsi="Futura Lt BT"/>
          <w:sz w:val="16"/>
          <w:szCs w:val="16"/>
        </w:rPr>
        <w:footnoteRef/>
      </w:r>
      <w:r w:rsidRPr="00C83F0A">
        <w:rPr>
          <w:rFonts w:ascii="Futura Lt BT" w:hAnsi="Futura Lt BT"/>
          <w:sz w:val="16"/>
          <w:szCs w:val="16"/>
        </w:rPr>
        <w:t xml:space="preserve"> </w:t>
      </w:r>
      <w:hyperlink r:id="rId9" w:history="1">
        <w:r w:rsidRPr="00C83F0A">
          <w:rPr>
            <w:rStyle w:val="Hyperlink"/>
            <w:rFonts w:ascii="Futura Lt BT" w:hAnsi="Futura Lt BT"/>
            <w:sz w:val="16"/>
            <w:szCs w:val="16"/>
          </w:rPr>
          <w:t xml:space="preserve">https://medium.com/@brighteyefund/edtech-funding-in-europe-2014-2018-report-ee6170b6512c </w:t>
        </w:r>
      </w:hyperlink>
      <w:r w:rsidRPr="00C83F0A">
        <w:rPr>
          <w:rFonts w:ascii="Futura Lt BT" w:hAnsi="Futura Lt BT"/>
          <w:sz w:val="16"/>
          <w:szCs w:val="16"/>
        </w:rPr>
        <w:t xml:space="preserve"> </w:t>
      </w:r>
    </w:p>
  </w:footnote>
  <w:footnote w:id="24">
    <w:p w14:paraId="1692DB62" w14:textId="77777777" w:rsidR="00511F2F" w:rsidRDefault="00511F2F" w:rsidP="009F5A43">
      <w:pPr>
        <w:pStyle w:val="FootnoteText"/>
      </w:pPr>
      <w:r>
        <w:rPr>
          <w:rStyle w:val="FootnoteReference"/>
        </w:rPr>
        <w:footnoteRef/>
      </w:r>
      <w:r>
        <w:t xml:space="preserve"> In an apprenticeship, you share your time between learning in school and training in a company. Normally you will have a contract with the company and get paid for your work. When you finish your apprenticeship, you receive a fully recognised diploma and qualification. Further information, including recent Commission initiatives can be found here: </w:t>
      </w:r>
      <w:hyperlink r:id="rId10" w:history="1">
        <w:r w:rsidRPr="00217568">
          <w:rPr>
            <w:rStyle w:val="Hyperlink"/>
          </w:rPr>
          <w:t>http://ec.europa.eu/social/main.jsp?catId=1198&amp;langId=en</w:t>
        </w:r>
      </w:hyperlink>
    </w:p>
  </w:footnote>
  <w:footnote w:id="25">
    <w:p w14:paraId="1AF7026A" w14:textId="77777777" w:rsidR="00511F2F" w:rsidRDefault="00511F2F" w:rsidP="009F5A43">
      <w:pPr>
        <w:pStyle w:val="FootnoteText"/>
      </w:pPr>
      <w:r>
        <w:rPr>
          <w:rStyle w:val="FootnoteReference"/>
        </w:rPr>
        <w:footnoteRef/>
      </w:r>
      <w:r>
        <w:t xml:space="preserve"> OECD (2002) International trade in Education Services. Good or Bad? </w:t>
      </w:r>
    </w:p>
  </w:footnote>
  <w:footnote w:id="26">
    <w:p w14:paraId="11245EBF" w14:textId="77777777" w:rsidR="00511F2F" w:rsidRDefault="00511F2F" w:rsidP="009F5A43">
      <w:pPr>
        <w:pStyle w:val="FootnoteText"/>
      </w:pPr>
      <w:r>
        <w:rPr>
          <w:rStyle w:val="FootnoteReference"/>
        </w:rPr>
        <w:footnoteRef/>
      </w:r>
      <w:r>
        <w:t xml:space="preserve"> OECD (2002) Trade in educational services: trends and emerging issues</w:t>
      </w:r>
    </w:p>
  </w:footnote>
  <w:footnote w:id="27">
    <w:p w14:paraId="3B538EBE" w14:textId="77777777" w:rsidR="00511F2F" w:rsidRDefault="00511F2F" w:rsidP="009F5A43">
      <w:pPr>
        <w:pStyle w:val="FootnoteText"/>
        <w:rPr>
          <w:lang w:val="it-IT"/>
        </w:rPr>
      </w:pPr>
      <w:r>
        <w:rPr>
          <w:rStyle w:val="FootnoteReference"/>
        </w:rPr>
        <w:footnoteRef/>
      </w:r>
      <w:r>
        <w:t xml:space="preserve"> Unlocking Investment in Intangible Assets, European Commission, 2017. </w:t>
      </w:r>
      <w:r>
        <w:rPr>
          <w:lang w:val="it-IT"/>
        </w:rPr>
        <w:t xml:space="preserve">Discussion Paper 47. </w:t>
      </w:r>
      <w:r>
        <w:rPr>
          <w:rStyle w:val="HTMLCite"/>
          <w:lang w:val="it-IT"/>
        </w:rPr>
        <w:t>https://ec.europa.eu/info/sites/info/files/dp047_en.pdf</w:t>
      </w:r>
    </w:p>
  </w:footnote>
  <w:footnote w:id="28">
    <w:p w14:paraId="0F97E232" w14:textId="77777777" w:rsidR="00511F2F" w:rsidRDefault="00511F2F" w:rsidP="009F5A43">
      <w:pPr>
        <w:pStyle w:val="FootnoteText"/>
        <w:rPr>
          <w:i/>
        </w:rPr>
      </w:pPr>
      <w:r>
        <w:rPr>
          <w:rStyle w:val="FootnoteReference"/>
        </w:rPr>
        <w:footnoteRef/>
      </w:r>
      <w:r>
        <w:t xml:space="preserve"> Corrado, C. et. al. (2013) Innovation and intangible investment in Europe, Japan and the United States. </w:t>
      </w:r>
      <w:r>
        <w:rPr>
          <w:i/>
        </w:rPr>
        <w:t>Oxford Review of Economic Policy. Vol 29 No 2.</w:t>
      </w:r>
    </w:p>
  </w:footnote>
  <w:footnote w:id="29">
    <w:p w14:paraId="50CD6377" w14:textId="77777777" w:rsidR="00511F2F" w:rsidRDefault="00511F2F" w:rsidP="009F5A43">
      <w:pPr>
        <w:pStyle w:val="FootnoteText"/>
      </w:pPr>
      <w:r>
        <w:rPr>
          <w:rStyle w:val="FootnoteReference"/>
        </w:rPr>
        <w:footnoteRef/>
      </w:r>
      <w:r>
        <w:t xml:space="preserve"> </w:t>
      </w:r>
      <w:hyperlink r:id="rId11" w:history="1">
        <w:r w:rsidRPr="005B7278">
          <w:rPr>
            <w:rStyle w:val="Hyperlink"/>
          </w:rPr>
          <w:t>https://ec.europa.eu/eurostat/statistics-explained/index.php/Continuing_Vocational_Training_Survey_(CVTS)_methodology</w:t>
        </w:r>
      </w:hyperlink>
      <w:r>
        <w:t xml:space="preserve"> </w:t>
      </w:r>
    </w:p>
  </w:footnote>
  <w:footnote w:id="30">
    <w:p w14:paraId="726DBB1F" w14:textId="77777777" w:rsidR="00511F2F" w:rsidRDefault="00511F2F" w:rsidP="009F5A43">
      <w:pPr>
        <w:pStyle w:val="FootnoteText"/>
      </w:pPr>
      <w:r>
        <w:rPr>
          <w:rStyle w:val="FootnoteReference"/>
        </w:rPr>
        <w:footnoteRef/>
      </w:r>
      <w:r>
        <w:t xml:space="preserve"> </w:t>
      </w:r>
      <w:hyperlink r:id="rId12" w:history="1">
        <w:r w:rsidRPr="005B7278">
          <w:rPr>
            <w:rStyle w:val="Hyperlink"/>
          </w:rPr>
          <w:t>https://ec.europa.eu/eurostat/web/labour-market/labour-costs</w:t>
        </w:r>
      </w:hyperlink>
      <w:r>
        <w:t xml:space="preserve"> </w:t>
      </w:r>
    </w:p>
  </w:footnote>
  <w:footnote w:id="31">
    <w:p w14:paraId="76B08DDE" w14:textId="77777777" w:rsidR="00511F2F" w:rsidRDefault="00511F2F" w:rsidP="009F5A43">
      <w:pPr>
        <w:pStyle w:val="FootnoteText"/>
      </w:pPr>
      <w:r>
        <w:rPr>
          <w:rStyle w:val="FootnoteReference"/>
        </w:rPr>
        <w:footnoteRef/>
      </w:r>
      <w:r>
        <w:t xml:space="preserve"> European Commission (2018) Education and Training Monitor 2018, chapter 2, section 2.6, particularly p. 68 </w:t>
      </w:r>
      <w:hyperlink r:id="rId13" w:history="1">
        <w:r w:rsidRPr="005B7278">
          <w:rPr>
            <w:rStyle w:val="Hyperlink"/>
          </w:rPr>
          <w:t>https://ec.europa.eu/education/sites/education/files/document-library-docs/volume-1-2018-education-and-training-monitor-country-analysis.pdf</w:t>
        </w:r>
      </w:hyperlink>
      <w:r>
        <w:t xml:space="preserve"> </w:t>
      </w:r>
    </w:p>
  </w:footnote>
  <w:footnote w:id="32">
    <w:p w14:paraId="6E3F765B" w14:textId="77777777" w:rsidR="00511F2F" w:rsidRDefault="00511F2F" w:rsidP="009F5A43">
      <w:pPr>
        <w:pStyle w:val="FootnoteText"/>
      </w:pPr>
      <w:r>
        <w:rPr>
          <w:rStyle w:val="FootnoteReference"/>
        </w:rPr>
        <w:footnoteRef/>
      </w:r>
      <w:r>
        <w:t xml:space="preserve"> Eurostat, Continuing Vocational Training Survey, 2010</w:t>
      </w:r>
    </w:p>
  </w:footnote>
  <w:footnote w:id="33">
    <w:p w14:paraId="13AC72E1" w14:textId="77777777" w:rsidR="00511F2F" w:rsidRPr="00FB5109" w:rsidRDefault="00511F2F" w:rsidP="009F5A43">
      <w:pPr>
        <w:pStyle w:val="FootnoteText"/>
        <w:rPr>
          <w:lang w:val="en-IE"/>
        </w:rPr>
      </w:pPr>
      <w:r w:rsidRPr="00C83EF1">
        <w:rPr>
          <w:rStyle w:val="FootnoteReference"/>
        </w:rPr>
        <w:footnoteRef/>
      </w:r>
      <w:r w:rsidRPr="00C83EF1">
        <w:t xml:space="preserve"> </w:t>
      </w:r>
      <w:r w:rsidRPr="00C83EF1">
        <w:rPr>
          <w:lang w:val="en-IE"/>
        </w:rPr>
        <w:t xml:space="preserve">As defined in </w:t>
      </w:r>
      <w:r w:rsidRPr="00FB5109">
        <w:rPr>
          <w:lang w:val="en-IE"/>
        </w:rPr>
        <w:t xml:space="preserve">the </w:t>
      </w:r>
      <w:r w:rsidRPr="00C83EF1">
        <w:rPr>
          <w:lang w:val="en-IE"/>
        </w:rPr>
        <w:t xml:space="preserve">Council </w:t>
      </w:r>
      <w:r w:rsidRPr="00FB5109">
        <w:rPr>
          <w:lang w:val="en-IE"/>
        </w:rPr>
        <w:t xml:space="preserve">Recommendation on a European Framework for Quality and Effective Apprenticeships </w:t>
      </w:r>
      <w:r>
        <w:rPr>
          <w:lang w:val="en-IE"/>
        </w:rPr>
        <w:t>(</w:t>
      </w:r>
      <w:r w:rsidRPr="00C83EF1">
        <w:t>2018/C 153/01</w:t>
      </w:r>
      <w:r>
        <w:t>)</w:t>
      </w:r>
    </w:p>
  </w:footnote>
  <w:footnote w:id="34">
    <w:p w14:paraId="59BFD1EA" w14:textId="77777777" w:rsidR="00511F2F" w:rsidRDefault="00511F2F" w:rsidP="009F5A43">
      <w:pPr>
        <w:pStyle w:val="FootnoteText"/>
      </w:pPr>
      <w:r>
        <w:rPr>
          <w:rStyle w:val="FootnoteReference"/>
        </w:rPr>
        <w:footnoteRef/>
      </w:r>
      <w:r>
        <w:t xml:space="preserve"> Eurostat, Labour Cost Survey, 2012</w:t>
      </w:r>
    </w:p>
  </w:footnote>
  <w:footnote w:id="35">
    <w:p w14:paraId="2EE4F658" w14:textId="77777777" w:rsidR="00511F2F" w:rsidRDefault="00511F2F" w:rsidP="009F5A43">
      <w:pPr>
        <w:pStyle w:val="FootnoteText"/>
      </w:pPr>
      <w:r>
        <w:rPr>
          <w:rStyle w:val="FootnoteReference"/>
        </w:rPr>
        <w:footnoteRef/>
      </w:r>
      <w:r>
        <w:t xml:space="preserve"> Kuczera, M. (2017), "Incentives for apprenticeship", </w:t>
      </w:r>
      <w:r>
        <w:rPr>
          <w:i/>
          <w:iCs/>
        </w:rPr>
        <w:t>OECD Education Working Papers</w:t>
      </w:r>
      <w:r>
        <w:t xml:space="preserve">, No. 152, OECD Publishing, Paris, </w:t>
      </w:r>
      <w:hyperlink r:id="rId14" w:history="1">
        <w:r>
          <w:rPr>
            <w:rStyle w:val="Hyperlink"/>
          </w:rPr>
          <w:t>https://doi.org/10.1787/55bb556d-en</w:t>
        </w:r>
      </w:hyperlink>
      <w:r>
        <w:t>.</w:t>
      </w:r>
    </w:p>
  </w:footnote>
  <w:footnote w:id="36">
    <w:p w14:paraId="20CB5CDF" w14:textId="77777777" w:rsidR="00511F2F" w:rsidRDefault="00511F2F" w:rsidP="009F5A43">
      <w:pPr>
        <w:pStyle w:val="FootnoteText"/>
      </w:pPr>
      <w:r>
        <w:rPr>
          <w:rStyle w:val="FootnoteReference"/>
        </w:rPr>
        <w:footnoteRef/>
      </w:r>
      <w:r>
        <w:t xml:space="preserve"> Kuczera, M. (2017), "Striking the right balance: Costs and benefits of apprenticeship", </w:t>
      </w:r>
      <w:r>
        <w:rPr>
          <w:i/>
          <w:iCs/>
        </w:rPr>
        <w:t>OECD Education Working Papers</w:t>
      </w:r>
      <w:r>
        <w:t xml:space="preserve">, No. 153, OECD Publishing, Paris, </w:t>
      </w:r>
      <w:hyperlink r:id="rId15" w:history="1">
        <w:r>
          <w:rPr>
            <w:rStyle w:val="Hyperlink"/>
          </w:rPr>
          <w:t>https://doi.org/10.1787/995fff01-en</w:t>
        </w:r>
      </w:hyperlink>
      <w:r>
        <w:t>.</w:t>
      </w:r>
    </w:p>
  </w:footnote>
  <w:footnote w:id="37">
    <w:p w14:paraId="34B694C1" w14:textId="77777777" w:rsidR="00511F2F" w:rsidRDefault="00511F2F" w:rsidP="009F5A43">
      <w:pPr>
        <w:pStyle w:val="FootnoteText"/>
      </w:pPr>
      <w:r>
        <w:rPr>
          <w:rStyle w:val="FootnoteReference"/>
        </w:rPr>
        <w:footnoteRef/>
      </w:r>
      <w:r>
        <w:t xml:space="preserve"> OECD (2007) Striking the right balance. Costs and benefits of apprenticeship.</w:t>
      </w:r>
    </w:p>
  </w:footnote>
  <w:footnote w:id="38">
    <w:p w14:paraId="5B757D5D" w14:textId="77777777" w:rsidR="00511F2F" w:rsidRDefault="00511F2F" w:rsidP="009F5A43">
      <w:pPr>
        <w:pStyle w:val="FootnoteText"/>
      </w:pPr>
      <w:r>
        <w:rPr>
          <w:rStyle w:val="FootnoteReference"/>
        </w:rPr>
        <w:footnoteRef/>
      </w:r>
      <w:r>
        <w:t xml:space="preserve"> CEDEFOP (2012) "Learning and innovation in enterprises", research paper No 27.</w:t>
      </w:r>
    </w:p>
  </w:footnote>
  <w:footnote w:id="39">
    <w:p w14:paraId="45573D0A" w14:textId="77777777" w:rsidR="00511F2F" w:rsidRDefault="00511F2F" w:rsidP="009F5A43">
      <w:pPr>
        <w:pStyle w:val="FootnoteText"/>
      </w:pPr>
      <w:r>
        <w:rPr>
          <w:rStyle w:val="FootnoteReference"/>
        </w:rPr>
        <w:footnoteRef/>
      </w:r>
      <w:r>
        <w:t xml:space="preserve"> OECD (2016), </w:t>
      </w:r>
      <w:r>
        <w:rPr>
          <w:i/>
          <w:iCs/>
        </w:rPr>
        <w:t>OECD Employment Outlook 2016</w:t>
      </w:r>
      <w:r>
        <w:t xml:space="preserve">, OECD Publishing, Paris, </w:t>
      </w:r>
      <w:hyperlink r:id="rId16" w:history="1">
        <w:r>
          <w:rPr>
            <w:rStyle w:val="Hyperlink"/>
          </w:rPr>
          <w:t>https://doi.org/10.1787/empl_outlook-2016-en</w:t>
        </w:r>
      </w:hyperlink>
      <w:r>
        <w:t>.</w:t>
      </w:r>
    </w:p>
  </w:footnote>
  <w:footnote w:id="40">
    <w:p w14:paraId="3ECD83D2" w14:textId="77777777" w:rsidR="00511F2F" w:rsidRDefault="00511F2F" w:rsidP="009F5A43">
      <w:pPr>
        <w:pStyle w:val="FootnoteText"/>
      </w:pPr>
      <w:r>
        <w:rPr>
          <w:rStyle w:val="FootnoteReference"/>
        </w:rPr>
        <w:footnoteRef/>
      </w:r>
      <w:r>
        <w:t xml:space="preserve"> Kis, V. (2016), "Work-based Learning for Youth at Risk: Getting Employers on Board", </w:t>
      </w:r>
      <w:r>
        <w:rPr>
          <w:i/>
          <w:iCs/>
        </w:rPr>
        <w:t>OECD Education Working Papers</w:t>
      </w:r>
      <w:r>
        <w:t xml:space="preserve">, No. 150, OECD Publishing, Paris, </w:t>
      </w:r>
      <w:hyperlink r:id="rId17" w:history="1">
        <w:r>
          <w:rPr>
            <w:rStyle w:val="Hyperlink"/>
          </w:rPr>
          <w:t>https://doi.org/10.1787/5e122a91-en</w:t>
        </w:r>
      </w:hyperlink>
      <w:r>
        <w:t>.</w:t>
      </w:r>
    </w:p>
  </w:footnote>
  <w:footnote w:id="41">
    <w:p w14:paraId="6D46EB4C" w14:textId="77777777" w:rsidR="00511F2F" w:rsidRDefault="00511F2F" w:rsidP="009F5A43">
      <w:pPr>
        <w:pStyle w:val="FootnoteText"/>
      </w:pPr>
      <w:r>
        <w:rPr>
          <w:rStyle w:val="FootnoteReference"/>
        </w:rPr>
        <w:footnoteRef/>
      </w:r>
      <w:r>
        <w:t xml:space="preserve"> The most common form of educational and training infrastructure PPPs</w:t>
      </w:r>
      <w:r>
        <w:rPr>
          <w:rStyle w:val="st"/>
        </w:rPr>
        <w:t xml:space="preserve"> involve the design, build, finance and maintain the property of the institution by the private sector over a long term contract (25 years). A variety of arrangements could be envisaged also as regards PPPs for education or training services which could be provided by the public sector or shared between public sector and private sector. </w:t>
      </w:r>
    </w:p>
  </w:footnote>
  <w:footnote w:id="42">
    <w:p w14:paraId="54BDC4E9" w14:textId="77777777" w:rsidR="00511F2F" w:rsidRDefault="00511F2F" w:rsidP="009F5A43">
      <w:pPr>
        <w:pStyle w:val="FootnoteText"/>
      </w:pPr>
      <w:r>
        <w:rPr>
          <w:rStyle w:val="FootnoteReference"/>
        </w:rPr>
        <w:footnoteRef/>
      </w:r>
      <w:r>
        <w:t xml:space="preserve"> UNESCO (2017) </w:t>
      </w:r>
      <w:r w:rsidRPr="009866A8">
        <w:t>Public-private partnerships as an education policy approach: multiple meanings, risks and challenges</w:t>
      </w:r>
      <w:r>
        <w:t xml:space="preserve"> </w:t>
      </w:r>
      <w:hyperlink r:id="rId18" w:history="1">
        <w:r w:rsidRPr="00D6007E">
          <w:rPr>
            <w:rStyle w:val="Hyperlink"/>
          </w:rPr>
          <w:t>https://unesdoc.unesco.org/ark:/48223/pf0000247327</w:t>
        </w:r>
      </w:hyperlink>
      <w:r>
        <w:t xml:space="preserve"> </w:t>
      </w:r>
    </w:p>
  </w:footnote>
  <w:footnote w:id="43">
    <w:p w14:paraId="0F37F3B1" w14:textId="77777777" w:rsidR="00511F2F" w:rsidRDefault="00511F2F" w:rsidP="009F5A43">
      <w:pPr>
        <w:pStyle w:val="FootnoteText"/>
      </w:pPr>
      <w:r>
        <w:rPr>
          <w:rStyle w:val="FootnoteReference"/>
        </w:rPr>
        <w:footnoteRef/>
      </w:r>
      <w:r>
        <w:t xml:space="preserve"> </w:t>
      </w:r>
      <w:r>
        <w:rPr>
          <w:rStyle w:val="ilfuvd"/>
        </w:rPr>
        <w:t>A '</w:t>
      </w:r>
      <w:r>
        <w:rPr>
          <w:rStyle w:val="ilfuvd"/>
          <w:b/>
          <w:bCs/>
        </w:rPr>
        <w:t>training fund</w:t>
      </w:r>
      <w:r>
        <w:rPr>
          <w:rStyle w:val="ilfuvd"/>
        </w:rPr>
        <w:t xml:space="preserve">' is a stock or flow of financing dedicated to developing productive work skills. The overall purpose of </w:t>
      </w:r>
      <w:r w:rsidRPr="00910F8A">
        <w:rPr>
          <w:rStyle w:val="ilfuvd"/>
          <w:bCs/>
        </w:rPr>
        <w:t>training funds</w:t>
      </w:r>
      <w:r>
        <w:rPr>
          <w:rStyle w:val="ilfuvd"/>
        </w:rPr>
        <w:t xml:space="preserve"> is to raise the productivity, competitiveness and incomes of enterprises and individuals by providing them with needed skills. </w:t>
      </w:r>
      <w:r>
        <w:t>World Bank (2009) A review of national training funds.</w:t>
      </w:r>
    </w:p>
  </w:footnote>
  <w:footnote w:id="44">
    <w:p w14:paraId="6A96C255" w14:textId="77777777" w:rsidR="00511F2F" w:rsidRPr="005A5090" w:rsidRDefault="00511F2F" w:rsidP="00EE08A0">
      <w:pPr>
        <w:pStyle w:val="FootnoteText"/>
        <w:rPr>
          <w:sz w:val="18"/>
          <w:lang w:val="en-US"/>
        </w:rPr>
      </w:pPr>
      <w:r>
        <w:rPr>
          <w:rStyle w:val="FootnoteReference"/>
        </w:rPr>
        <w:footnoteRef/>
      </w:r>
      <w:r w:rsidRPr="005A5090">
        <w:rPr>
          <w:lang w:val="en-US"/>
        </w:rPr>
        <w:t xml:space="preserve"> </w:t>
      </w:r>
      <w:r w:rsidRPr="005A5090">
        <w:rPr>
          <w:sz w:val="18"/>
          <w:lang w:val="en-US"/>
        </w:rPr>
        <w:t xml:space="preserve">Housing exclusion refers both to affordability (i.e. people who cannot </w:t>
      </w:r>
      <w:r>
        <w:rPr>
          <w:sz w:val="18"/>
          <w:lang w:val="en-US"/>
        </w:rPr>
        <w:t xml:space="preserve">afford </w:t>
      </w:r>
      <w:r w:rsidRPr="005A5090">
        <w:rPr>
          <w:sz w:val="18"/>
          <w:lang w:val="en-US"/>
        </w:rPr>
        <w:t>housing costs in the private housing market) and to quality issues (people experiencing housing deprivation).</w:t>
      </w:r>
    </w:p>
  </w:footnote>
  <w:footnote w:id="45">
    <w:p w14:paraId="416637BF" w14:textId="77777777" w:rsidR="00511F2F" w:rsidRPr="00D15FD5" w:rsidRDefault="00511F2F" w:rsidP="00244BDF">
      <w:pPr>
        <w:pStyle w:val="FootnoteText"/>
        <w:rPr>
          <w:lang w:val="en-IE"/>
        </w:rPr>
      </w:pPr>
      <w:r>
        <w:rPr>
          <w:rStyle w:val="FootnoteReference"/>
        </w:rPr>
        <w:footnoteRef/>
      </w:r>
      <w:r>
        <w:t xml:space="preserve"> </w:t>
      </w:r>
      <w:hyperlink r:id="rId19" w:history="1">
        <w:r w:rsidRPr="00F278F6">
          <w:rPr>
            <w:rStyle w:val="Hyperlink"/>
          </w:rPr>
          <w:t>https://eiah.eib.org/publications/attachments/report-health-sector-study-20180322-en.pdf</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476B" w14:textId="77777777" w:rsidR="00511F2F" w:rsidRDefault="0051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40A0" w14:textId="23EBD85B" w:rsidR="00511F2F" w:rsidRPr="00FA32F3" w:rsidRDefault="00511F2F">
    <w:pPr>
      <w:pStyle w:val="Header"/>
      <w:rPr>
        <w:i/>
        <w:sz w:val="20"/>
        <w:szCs w:val="20"/>
        <w:lang w:val="en-IE"/>
      </w:rPr>
    </w:pPr>
    <w:r>
      <w:rPr>
        <w:i/>
        <w:sz w:val="20"/>
        <w:szCs w:val="20"/>
        <w:lang w:val="en-IE"/>
      </w:rPr>
      <w:t>15 November</w:t>
    </w:r>
    <w:r w:rsidRPr="00FA32F3">
      <w:rPr>
        <w:i/>
        <w:sz w:val="20"/>
        <w:szCs w:val="20"/>
        <w:lang w:val="en-IE"/>
      </w:rPr>
      <w:t xml:space="preserve"> 2019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C89D" w14:textId="77777777" w:rsidR="00511F2F" w:rsidRDefault="0051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54F28A"/>
    <w:lvl w:ilvl="0">
      <w:start w:val="1"/>
      <w:numFmt w:val="decimal"/>
      <w:pStyle w:val="ListNumber"/>
      <w:lvlText w:val="%1."/>
      <w:lvlJc w:val="left"/>
      <w:pPr>
        <w:tabs>
          <w:tab w:val="num" w:pos="360"/>
        </w:tabs>
        <w:ind w:left="360" w:hanging="360"/>
      </w:pPr>
    </w:lvl>
  </w:abstractNum>
  <w:abstractNum w:abstractNumId="1" w15:restartNumberingAfterBreak="0">
    <w:nsid w:val="05123B59"/>
    <w:multiLevelType w:val="hybridMultilevel"/>
    <w:tmpl w:val="0CEE890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 w15:restartNumberingAfterBreak="0">
    <w:nsid w:val="06AE7288"/>
    <w:multiLevelType w:val="hybridMultilevel"/>
    <w:tmpl w:val="24089CD6"/>
    <w:lvl w:ilvl="0" w:tplc="080C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9150958"/>
    <w:multiLevelType w:val="hybridMultilevel"/>
    <w:tmpl w:val="278C8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D28C3"/>
    <w:multiLevelType w:val="hybridMultilevel"/>
    <w:tmpl w:val="0748AAE8"/>
    <w:lvl w:ilvl="0" w:tplc="080C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3A37681"/>
    <w:multiLevelType w:val="hybridMultilevel"/>
    <w:tmpl w:val="04EE6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912912"/>
    <w:multiLevelType w:val="hybridMultilevel"/>
    <w:tmpl w:val="9896217E"/>
    <w:lvl w:ilvl="0" w:tplc="35B49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8B2EF7"/>
    <w:multiLevelType w:val="hybridMultilevel"/>
    <w:tmpl w:val="FB5C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B061A"/>
    <w:multiLevelType w:val="hybridMultilevel"/>
    <w:tmpl w:val="9E7A1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F162D7"/>
    <w:multiLevelType w:val="hybridMultilevel"/>
    <w:tmpl w:val="337A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87DAC"/>
    <w:multiLevelType w:val="hybridMultilevel"/>
    <w:tmpl w:val="D29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20ACA"/>
    <w:multiLevelType w:val="hybridMultilevel"/>
    <w:tmpl w:val="1AF2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6497F"/>
    <w:multiLevelType w:val="hybridMultilevel"/>
    <w:tmpl w:val="24089CD6"/>
    <w:lvl w:ilvl="0" w:tplc="080C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18F241B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B165721"/>
    <w:multiLevelType w:val="hybridMultilevel"/>
    <w:tmpl w:val="A3AC7A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30B21"/>
    <w:multiLevelType w:val="hybridMultilevel"/>
    <w:tmpl w:val="1F0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FCF49C6"/>
    <w:multiLevelType w:val="hybridMultilevel"/>
    <w:tmpl w:val="E996A0F8"/>
    <w:lvl w:ilvl="0" w:tplc="18090013">
      <w:start w:val="1"/>
      <w:numFmt w:val="upperRoman"/>
      <w:lvlText w:val="%1."/>
      <w:lvlJc w:val="righ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2E822AB"/>
    <w:multiLevelType w:val="hybridMultilevel"/>
    <w:tmpl w:val="13E8E9BA"/>
    <w:lvl w:ilvl="0" w:tplc="37B0D3F0">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E93446A"/>
    <w:multiLevelType w:val="hybridMultilevel"/>
    <w:tmpl w:val="B0D6B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29366F"/>
    <w:multiLevelType w:val="hybridMultilevel"/>
    <w:tmpl w:val="24089CD6"/>
    <w:lvl w:ilvl="0" w:tplc="080C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40CD471F"/>
    <w:multiLevelType w:val="hybridMultilevel"/>
    <w:tmpl w:val="483EDE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355A77"/>
    <w:multiLevelType w:val="hybridMultilevel"/>
    <w:tmpl w:val="28EC5590"/>
    <w:lvl w:ilvl="0" w:tplc="080C0019">
      <w:start w:val="1"/>
      <w:numFmt w:val="lowerLetter"/>
      <w:lvlText w:val="%1."/>
      <w:lvlJc w:val="left"/>
      <w:pPr>
        <w:ind w:left="1074" w:hanging="360"/>
      </w:pPr>
    </w:lvl>
    <w:lvl w:ilvl="1" w:tplc="080C0019" w:tentative="1">
      <w:start w:val="1"/>
      <w:numFmt w:val="lowerLetter"/>
      <w:lvlText w:val="%2."/>
      <w:lvlJc w:val="left"/>
      <w:pPr>
        <w:ind w:left="1794" w:hanging="360"/>
      </w:pPr>
    </w:lvl>
    <w:lvl w:ilvl="2" w:tplc="080C001B" w:tentative="1">
      <w:start w:val="1"/>
      <w:numFmt w:val="lowerRoman"/>
      <w:lvlText w:val="%3."/>
      <w:lvlJc w:val="right"/>
      <w:pPr>
        <w:ind w:left="2514" w:hanging="180"/>
      </w:pPr>
    </w:lvl>
    <w:lvl w:ilvl="3" w:tplc="080C000F" w:tentative="1">
      <w:start w:val="1"/>
      <w:numFmt w:val="decimal"/>
      <w:lvlText w:val="%4."/>
      <w:lvlJc w:val="left"/>
      <w:pPr>
        <w:ind w:left="3234" w:hanging="360"/>
      </w:pPr>
    </w:lvl>
    <w:lvl w:ilvl="4" w:tplc="080C0019" w:tentative="1">
      <w:start w:val="1"/>
      <w:numFmt w:val="lowerLetter"/>
      <w:lvlText w:val="%5."/>
      <w:lvlJc w:val="left"/>
      <w:pPr>
        <w:ind w:left="3954" w:hanging="360"/>
      </w:pPr>
    </w:lvl>
    <w:lvl w:ilvl="5" w:tplc="080C001B" w:tentative="1">
      <w:start w:val="1"/>
      <w:numFmt w:val="lowerRoman"/>
      <w:lvlText w:val="%6."/>
      <w:lvlJc w:val="right"/>
      <w:pPr>
        <w:ind w:left="4674" w:hanging="180"/>
      </w:pPr>
    </w:lvl>
    <w:lvl w:ilvl="6" w:tplc="080C000F" w:tentative="1">
      <w:start w:val="1"/>
      <w:numFmt w:val="decimal"/>
      <w:lvlText w:val="%7."/>
      <w:lvlJc w:val="left"/>
      <w:pPr>
        <w:ind w:left="5394" w:hanging="360"/>
      </w:pPr>
    </w:lvl>
    <w:lvl w:ilvl="7" w:tplc="080C0019" w:tentative="1">
      <w:start w:val="1"/>
      <w:numFmt w:val="lowerLetter"/>
      <w:lvlText w:val="%8."/>
      <w:lvlJc w:val="left"/>
      <w:pPr>
        <w:ind w:left="6114" w:hanging="360"/>
      </w:pPr>
    </w:lvl>
    <w:lvl w:ilvl="8" w:tplc="080C001B" w:tentative="1">
      <w:start w:val="1"/>
      <w:numFmt w:val="lowerRoman"/>
      <w:lvlText w:val="%9."/>
      <w:lvlJc w:val="right"/>
      <w:pPr>
        <w:ind w:left="6834" w:hanging="180"/>
      </w:pPr>
    </w:lvl>
  </w:abstractNum>
  <w:abstractNum w:abstractNumId="23" w15:restartNumberingAfterBreak="0">
    <w:nsid w:val="4FDD0CA3"/>
    <w:multiLevelType w:val="hybridMultilevel"/>
    <w:tmpl w:val="5F6046DE"/>
    <w:lvl w:ilvl="0" w:tplc="DF7C2712">
      <w:start w:val="1"/>
      <w:numFmt w:val="bullet"/>
      <w:pStyle w:val="Bulet"/>
      <w:lvlText w:val=""/>
      <w:lvlJc w:val="left"/>
      <w:pPr>
        <w:ind w:left="360" w:hanging="360"/>
      </w:pPr>
      <w:rPr>
        <w:rFonts w:ascii="Symbol" w:hAnsi="Symbol" w:hint="default"/>
      </w:rPr>
    </w:lvl>
    <w:lvl w:ilvl="1" w:tplc="83DC0710">
      <w:numFmt w:val="bullet"/>
      <w:lvlText w:val="-"/>
      <w:lvlJc w:val="left"/>
      <w:pPr>
        <w:ind w:left="1080" w:hanging="360"/>
      </w:pPr>
      <w:rPr>
        <w:rFonts w:ascii="Times New Roman" w:eastAsia="MS Mincho" w:hAnsi="Times New Roman"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2A66F9"/>
    <w:multiLevelType w:val="multilevel"/>
    <w:tmpl w:val="9D8809C0"/>
    <w:lvl w:ilvl="0">
      <w:start w:val="1"/>
      <w:numFmt w:val="decimal"/>
      <w:pStyle w:val="MNP1"/>
      <w:suff w:val="space"/>
      <w:lvlText w:val="Title %1 - "/>
      <w:lvlJc w:val="center"/>
      <w:pPr>
        <w:ind w:left="0" w:firstLine="425"/>
      </w:pPr>
      <w:rPr>
        <w:rFonts w:ascii="Arial Bold" w:hAnsi="Arial Bold" w:hint="default"/>
        <w:b/>
        <w:i w:val="0"/>
        <w:sz w:val="24"/>
      </w:rPr>
    </w:lvl>
    <w:lvl w:ilvl="1">
      <w:start w:val="1"/>
      <w:numFmt w:val="decimal"/>
      <w:lvlRestart w:val="0"/>
      <w:pStyle w:val="MNP2"/>
      <w:suff w:val="nothing"/>
      <w:lvlText w:val="Article %2"/>
      <w:lvlJc w:val="center"/>
      <w:pPr>
        <w:ind w:left="0" w:firstLine="425"/>
      </w:pPr>
      <w:rPr>
        <w:rFonts w:ascii="Arial Bold" w:hAnsi="Arial Bold" w:hint="default"/>
        <w:b/>
        <w:i w:val="0"/>
        <w:sz w:val="20"/>
      </w:rPr>
    </w:lvl>
    <w:lvl w:ilvl="2">
      <w:start w:val="1"/>
      <w:numFmt w:val="decimal"/>
      <w:pStyle w:val="MNP3"/>
      <w:lvlText w:val="%2.%3"/>
      <w:lvlJc w:val="left"/>
      <w:pPr>
        <w:tabs>
          <w:tab w:val="num" w:pos="720"/>
        </w:tabs>
        <w:ind w:left="720" w:hanging="720"/>
      </w:pPr>
      <w:rPr>
        <w:rFonts w:ascii="Arial" w:hAnsi="Arial" w:hint="default"/>
        <w:b w:val="0"/>
        <w:i w:val="0"/>
        <w:sz w:val="20"/>
      </w:rPr>
    </w:lvl>
    <w:lvl w:ilvl="3">
      <w:start w:val="1"/>
      <w:numFmt w:val="lowerLetter"/>
      <w:pStyle w:val="MNP4"/>
      <w:lvlText w:val="(%4)"/>
      <w:lvlJc w:val="left"/>
      <w:pPr>
        <w:ind w:left="1440" w:hanging="720"/>
      </w:pPr>
      <w:rPr>
        <w:rFonts w:ascii="Arial" w:hAnsi="Arial"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E90C91"/>
    <w:multiLevelType w:val="hybridMultilevel"/>
    <w:tmpl w:val="B5CE1BCE"/>
    <w:lvl w:ilvl="0" w:tplc="F5F2E77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522112"/>
    <w:multiLevelType w:val="hybridMultilevel"/>
    <w:tmpl w:val="A95E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55303"/>
    <w:multiLevelType w:val="hybridMultilevel"/>
    <w:tmpl w:val="A03489BA"/>
    <w:lvl w:ilvl="0" w:tplc="1592FCC4">
      <w:start w:val="2"/>
      <w:numFmt w:val="bullet"/>
      <w:lvlText w:val="-"/>
      <w:lvlJc w:val="left"/>
      <w:pPr>
        <w:ind w:left="510" w:hanging="360"/>
      </w:pPr>
      <w:rPr>
        <w:rFonts w:ascii="Calibri" w:eastAsiaTheme="minorHAnsi" w:hAnsi="Calibri" w:cstheme="minorBidi"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8" w15:restartNumberingAfterBreak="0">
    <w:nsid w:val="5AE974D3"/>
    <w:multiLevelType w:val="hybridMultilevel"/>
    <w:tmpl w:val="16983B70"/>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26CC0"/>
    <w:multiLevelType w:val="hybridMultilevel"/>
    <w:tmpl w:val="B1161F92"/>
    <w:lvl w:ilvl="0" w:tplc="1592FCC4">
      <w:start w:val="2"/>
      <w:numFmt w:val="bullet"/>
      <w:lvlText w:val="-"/>
      <w:lvlJc w:val="left"/>
      <w:pPr>
        <w:ind w:left="51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30D26"/>
    <w:multiLevelType w:val="hybridMultilevel"/>
    <w:tmpl w:val="498A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0601C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369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8276934"/>
    <w:multiLevelType w:val="hybridMultilevel"/>
    <w:tmpl w:val="CC405A20"/>
    <w:lvl w:ilvl="0" w:tplc="95F09EAC">
      <w:start w:val="3"/>
      <w:numFmt w:val="bullet"/>
      <w:lvlText w:val="-"/>
      <w:lvlJc w:val="left"/>
      <w:pPr>
        <w:ind w:left="1440" w:hanging="360"/>
      </w:pPr>
      <w:rPr>
        <w:rFonts w:ascii="Futura Lt BT" w:eastAsiaTheme="minorHAnsi" w:hAnsi="Futura Lt BT" w:cstheme="minorBidi" w:hint="default"/>
        <w: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918079A"/>
    <w:multiLevelType w:val="hybridMultilevel"/>
    <w:tmpl w:val="2F08C3AA"/>
    <w:lvl w:ilvl="0" w:tplc="08090001">
      <w:start w:val="1"/>
      <w:numFmt w:val="bullet"/>
      <w:lvlText w:val=""/>
      <w:lvlJc w:val="left"/>
      <w:pPr>
        <w:ind w:left="720" w:hanging="360"/>
      </w:pPr>
      <w:rPr>
        <w:rFonts w:ascii="Symbol" w:hAnsi="Symbol" w:hint="default"/>
      </w:rPr>
    </w:lvl>
    <w:lvl w:ilvl="1" w:tplc="C4A8020C">
      <w:start w:val="4"/>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996232"/>
    <w:multiLevelType w:val="hybridMultilevel"/>
    <w:tmpl w:val="D06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06F84"/>
    <w:multiLevelType w:val="hybridMultilevel"/>
    <w:tmpl w:val="CB0AD758"/>
    <w:lvl w:ilvl="0" w:tplc="7FCA0E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F6A87"/>
    <w:multiLevelType w:val="hybridMultilevel"/>
    <w:tmpl w:val="1DA8FABC"/>
    <w:lvl w:ilvl="0" w:tplc="1809001B">
      <w:start w:val="1"/>
      <w:numFmt w:val="lowerRoman"/>
      <w:lvlText w:val="%1."/>
      <w:lvlJc w:val="righ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7" w15:restartNumberingAfterBreak="0">
    <w:nsid w:val="6DD37B6D"/>
    <w:multiLevelType w:val="hybridMultilevel"/>
    <w:tmpl w:val="033C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71CFE"/>
    <w:multiLevelType w:val="hybridMultilevel"/>
    <w:tmpl w:val="2CECAB4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1D018D"/>
    <w:multiLevelType w:val="hybridMultilevel"/>
    <w:tmpl w:val="20D0460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6F29C0"/>
    <w:multiLevelType w:val="hybridMultilevel"/>
    <w:tmpl w:val="DB54A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3BB2621"/>
    <w:multiLevelType w:val="multilevel"/>
    <w:tmpl w:val="F2A0A1B8"/>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692228C"/>
    <w:multiLevelType w:val="hybridMultilevel"/>
    <w:tmpl w:val="0596A068"/>
    <w:lvl w:ilvl="0" w:tplc="0809001B">
      <w:start w:val="1"/>
      <w:numFmt w:val="low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7831C90"/>
    <w:multiLevelType w:val="hybridMultilevel"/>
    <w:tmpl w:val="AD345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50173"/>
    <w:multiLevelType w:val="hybridMultilevel"/>
    <w:tmpl w:val="AB0C56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696986"/>
    <w:multiLevelType w:val="hybridMultilevel"/>
    <w:tmpl w:val="24089CD6"/>
    <w:lvl w:ilvl="0" w:tplc="080C0019">
      <w:start w:val="1"/>
      <w:numFmt w:val="lowerLetter"/>
      <w:lvlText w:val="%1."/>
      <w:lvlJc w:val="left"/>
      <w:pPr>
        <w:ind w:left="1074" w:hanging="360"/>
      </w:pPr>
    </w:lvl>
    <w:lvl w:ilvl="1" w:tplc="080C0019" w:tentative="1">
      <w:start w:val="1"/>
      <w:numFmt w:val="lowerLetter"/>
      <w:lvlText w:val="%2."/>
      <w:lvlJc w:val="left"/>
      <w:pPr>
        <w:ind w:left="1794" w:hanging="360"/>
      </w:pPr>
    </w:lvl>
    <w:lvl w:ilvl="2" w:tplc="080C001B" w:tentative="1">
      <w:start w:val="1"/>
      <w:numFmt w:val="lowerRoman"/>
      <w:lvlText w:val="%3."/>
      <w:lvlJc w:val="right"/>
      <w:pPr>
        <w:ind w:left="2514" w:hanging="180"/>
      </w:pPr>
    </w:lvl>
    <w:lvl w:ilvl="3" w:tplc="080C000F" w:tentative="1">
      <w:start w:val="1"/>
      <w:numFmt w:val="decimal"/>
      <w:lvlText w:val="%4."/>
      <w:lvlJc w:val="left"/>
      <w:pPr>
        <w:ind w:left="3234" w:hanging="360"/>
      </w:pPr>
    </w:lvl>
    <w:lvl w:ilvl="4" w:tplc="080C0019" w:tentative="1">
      <w:start w:val="1"/>
      <w:numFmt w:val="lowerLetter"/>
      <w:lvlText w:val="%5."/>
      <w:lvlJc w:val="left"/>
      <w:pPr>
        <w:ind w:left="3954" w:hanging="360"/>
      </w:pPr>
    </w:lvl>
    <w:lvl w:ilvl="5" w:tplc="080C001B" w:tentative="1">
      <w:start w:val="1"/>
      <w:numFmt w:val="lowerRoman"/>
      <w:lvlText w:val="%6."/>
      <w:lvlJc w:val="right"/>
      <w:pPr>
        <w:ind w:left="4674" w:hanging="180"/>
      </w:pPr>
    </w:lvl>
    <w:lvl w:ilvl="6" w:tplc="080C000F" w:tentative="1">
      <w:start w:val="1"/>
      <w:numFmt w:val="decimal"/>
      <w:lvlText w:val="%7."/>
      <w:lvlJc w:val="left"/>
      <w:pPr>
        <w:ind w:left="5394" w:hanging="360"/>
      </w:pPr>
    </w:lvl>
    <w:lvl w:ilvl="7" w:tplc="080C0019" w:tentative="1">
      <w:start w:val="1"/>
      <w:numFmt w:val="lowerLetter"/>
      <w:lvlText w:val="%8."/>
      <w:lvlJc w:val="left"/>
      <w:pPr>
        <w:ind w:left="6114" w:hanging="360"/>
      </w:pPr>
    </w:lvl>
    <w:lvl w:ilvl="8" w:tplc="080C001B" w:tentative="1">
      <w:start w:val="1"/>
      <w:numFmt w:val="lowerRoman"/>
      <w:lvlText w:val="%9."/>
      <w:lvlJc w:val="right"/>
      <w:pPr>
        <w:ind w:left="6834" w:hanging="180"/>
      </w:pPr>
    </w:lvl>
  </w:abstractNum>
  <w:abstractNum w:abstractNumId="46" w15:restartNumberingAfterBreak="0">
    <w:nsid w:val="7B4559C0"/>
    <w:multiLevelType w:val="hybridMultilevel"/>
    <w:tmpl w:val="CDC49858"/>
    <w:lvl w:ilvl="0" w:tplc="08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3"/>
  </w:num>
  <w:num w:numId="3">
    <w:abstractNumId w:val="28"/>
  </w:num>
  <w:num w:numId="4">
    <w:abstractNumId w:val="44"/>
  </w:num>
  <w:num w:numId="5">
    <w:abstractNumId w:val="19"/>
  </w:num>
  <w:num w:numId="6">
    <w:abstractNumId w:val="33"/>
  </w:num>
  <w:num w:numId="7">
    <w:abstractNumId w:val="14"/>
  </w:num>
  <w:num w:numId="8">
    <w:abstractNumId w:val="16"/>
  </w:num>
  <w:num w:numId="9">
    <w:abstractNumId w:val="7"/>
  </w:num>
  <w:num w:numId="10">
    <w:abstractNumId w:val="37"/>
  </w:num>
  <w:num w:numId="11">
    <w:abstractNumId w:val="34"/>
  </w:num>
  <w:num w:numId="12">
    <w:abstractNumId w:val="30"/>
  </w:num>
  <w:num w:numId="13">
    <w:abstractNumId w:val="11"/>
  </w:num>
  <w:num w:numId="14">
    <w:abstractNumId w:val="26"/>
  </w:num>
  <w:num w:numId="15">
    <w:abstractNumId w:val="24"/>
  </w:num>
  <w:num w:numId="16">
    <w:abstractNumId w:val="15"/>
  </w:num>
  <w:num w:numId="17">
    <w:abstractNumId w:val="27"/>
  </w:num>
  <w:num w:numId="18">
    <w:abstractNumId w:val="9"/>
  </w:num>
  <w:num w:numId="19">
    <w:abstractNumId w:val="29"/>
  </w:num>
  <w:num w:numId="20">
    <w:abstractNumId w:val="0"/>
  </w:num>
  <w:num w:numId="21">
    <w:abstractNumId w:val="39"/>
  </w:num>
  <w:num w:numId="22">
    <w:abstractNumId w:val="45"/>
  </w:num>
  <w:num w:numId="23">
    <w:abstractNumId w:val="20"/>
  </w:num>
  <w:num w:numId="24">
    <w:abstractNumId w:val="12"/>
  </w:num>
  <w:num w:numId="25">
    <w:abstractNumId w:val="22"/>
  </w:num>
  <w:num w:numId="26">
    <w:abstractNumId w:val="1"/>
  </w:num>
  <w:num w:numId="27">
    <w:abstractNumId w:val="6"/>
  </w:num>
  <w:num w:numId="28">
    <w:abstractNumId w:val="32"/>
  </w:num>
  <w:num w:numId="29">
    <w:abstractNumId w:val="43"/>
  </w:num>
  <w:num w:numId="30">
    <w:abstractNumId w:val="35"/>
  </w:num>
  <w:num w:numId="31">
    <w:abstractNumId w:val="38"/>
  </w:num>
  <w:num w:numId="32">
    <w:abstractNumId w:val="18"/>
  </w:num>
  <w:num w:numId="33">
    <w:abstractNumId w:val="2"/>
  </w:num>
  <w:num w:numId="34">
    <w:abstractNumId w:val="17"/>
  </w:num>
  <w:num w:numId="35">
    <w:abstractNumId w:val="36"/>
  </w:num>
  <w:num w:numId="36">
    <w:abstractNumId w:val="31"/>
  </w:num>
  <w:num w:numId="37">
    <w:abstractNumId w:val="31"/>
  </w:num>
  <w:num w:numId="38">
    <w:abstractNumId w:val="31"/>
  </w:num>
  <w:num w:numId="39">
    <w:abstractNumId w:val="31"/>
  </w:num>
  <w:num w:numId="40">
    <w:abstractNumId w:val="23"/>
  </w:num>
  <w:num w:numId="41">
    <w:abstractNumId w:val="10"/>
  </w:num>
  <w:num w:numId="42">
    <w:abstractNumId w:val="31"/>
  </w:num>
  <w:num w:numId="43">
    <w:abstractNumId w:val="5"/>
  </w:num>
  <w:num w:numId="44">
    <w:abstractNumId w:val="25"/>
  </w:num>
  <w:num w:numId="45">
    <w:abstractNumId w:val="41"/>
  </w:num>
  <w:num w:numId="46">
    <w:abstractNumId w:val="31"/>
  </w:num>
  <w:num w:numId="47">
    <w:abstractNumId w:val="31"/>
  </w:num>
  <w:num w:numId="48">
    <w:abstractNumId w:val="21"/>
  </w:num>
  <w:num w:numId="49">
    <w:abstractNumId w:val="42"/>
  </w:num>
  <w:num w:numId="50">
    <w:abstractNumId w:val="8"/>
  </w:num>
  <w:num w:numId="51">
    <w:abstractNumId w:val="3"/>
  </w:num>
  <w:num w:numId="52">
    <w:abstractNumId w:val="40"/>
  </w:num>
  <w:num w:numId="53">
    <w:abstractNumId w:val="31"/>
  </w:num>
  <w:num w:numId="54">
    <w:abstractNumId w:val="31"/>
  </w:num>
  <w:num w:numId="55">
    <w:abstractNumId w:val="46"/>
  </w:num>
  <w:num w:numId="56">
    <w:abstractNumId w:val="4"/>
  </w:num>
  <w:num w:numId="57">
    <w:abstractNumId w:val="31"/>
  </w:num>
  <w:num w:numId="58">
    <w:abstractNumId w:val="31"/>
  </w:num>
  <w:num w:numId="59">
    <w:abstractNumId w:val="31"/>
  </w:num>
  <w:num w:numId="60">
    <w:abstractNumId w:val="31"/>
  </w:num>
  <w:num w:numId="61">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778E"/>
    <w:rsid w:val="00002A49"/>
    <w:rsid w:val="000034D9"/>
    <w:rsid w:val="00010507"/>
    <w:rsid w:val="00016974"/>
    <w:rsid w:val="00017F0D"/>
    <w:rsid w:val="00021AD5"/>
    <w:rsid w:val="00033389"/>
    <w:rsid w:val="00036060"/>
    <w:rsid w:val="000363B2"/>
    <w:rsid w:val="000414BC"/>
    <w:rsid w:val="00043C04"/>
    <w:rsid w:val="000448F4"/>
    <w:rsid w:val="00045A4F"/>
    <w:rsid w:val="0005231C"/>
    <w:rsid w:val="00055C28"/>
    <w:rsid w:val="0005709E"/>
    <w:rsid w:val="00067049"/>
    <w:rsid w:val="0006705A"/>
    <w:rsid w:val="00071071"/>
    <w:rsid w:val="00075CE3"/>
    <w:rsid w:val="00077768"/>
    <w:rsid w:val="00083799"/>
    <w:rsid w:val="0008440D"/>
    <w:rsid w:val="00086FBD"/>
    <w:rsid w:val="00087D6B"/>
    <w:rsid w:val="0009390B"/>
    <w:rsid w:val="000A0ABB"/>
    <w:rsid w:val="000A1D64"/>
    <w:rsid w:val="000A653F"/>
    <w:rsid w:val="000A784A"/>
    <w:rsid w:val="000A7E5E"/>
    <w:rsid w:val="000B6F81"/>
    <w:rsid w:val="000C4B54"/>
    <w:rsid w:val="000C562F"/>
    <w:rsid w:val="000C79BD"/>
    <w:rsid w:val="000C7E55"/>
    <w:rsid w:val="000D1BAA"/>
    <w:rsid w:val="000D3EDF"/>
    <w:rsid w:val="000F546E"/>
    <w:rsid w:val="001007C2"/>
    <w:rsid w:val="001115B3"/>
    <w:rsid w:val="00113FB8"/>
    <w:rsid w:val="001155C2"/>
    <w:rsid w:val="00121606"/>
    <w:rsid w:val="00121CCE"/>
    <w:rsid w:val="001263E8"/>
    <w:rsid w:val="00130113"/>
    <w:rsid w:val="00137306"/>
    <w:rsid w:val="001525B5"/>
    <w:rsid w:val="00152AC1"/>
    <w:rsid w:val="00153A51"/>
    <w:rsid w:val="00155839"/>
    <w:rsid w:val="001576F0"/>
    <w:rsid w:val="001630E9"/>
    <w:rsid w:val="00163D55"/>
    <w:rsid w:val="0017051C"/>
    <w:rsid w:val="00170F13"/>
    <w:rsid w:val="001763CA"/>
    <w:rsid w:val="0018420B"/>
    <w:rsid w:val="00192398"/>
    <w:rsid w:val="00194A65"/>
    <w:rsid w:val="001A7534"/>
    <w:rsid w:val="001B1A66"/>
    <w:rsid w:val="001B4732"/>
    <w:rsid w:val="001B473B"/>
    <w:rsid w:val="001B5150"/>
    <w:rsid w:val="001D3ADD"/>
    <w:rsid w:val="001D4F9A"/>
    <w:rsid w:val="001E229B"/>
    <w:rsid w:val="001F2B1E"/>
    <w:rsid w:val="001F5F0B"/>
    <w:rsid w:val="00200871"/>
    <w:rsid w:val="00214492"/>
    <w:rsid w:val="002159CE"/>
    <w:rsid w:val="00217700"/>
    <w:rsid w:val="00220CB0"/>
    <w:rsid w:val="00222CC3"/>
    <w:rsid w:val="0023175E"/>
    <w:rsid w:val="00234C91"/>
    <w:rsid w:val="002358E6"/>
    <w:rsid w:val="00235D8F"/>
    <w:rsid w:val="002409FA"/>
    <w:rsid w:val="00241FD5"/>
    <w:rsid w:val="00244BDF"/>
    <w:rsid w:val="002468BA"/>
    <w:rsid w:val="00247A49"/>
    <w:rsid w:val="0025237E"/>
    <w:rsid w:val="00252677"/>
    <w:rsid w:val="00260AA5"/>
    <w:rsid w:val="002665C6"/>
    <w:rsid w:val="00266AD2"/>
    <w:rsid w:val="00280511"/>
    <w:rsid w:val="0028392F"/>
    <w:rsid w:val="00285103"/>
    <w:rsid w:val="0029034D"/>
    <w:rsid w:val="0029176E"/>
    <w:rsid w:val="002921A4"/>
    <w:rsid w:val="00293F12"/>
    <w:rsid w:val="00295EFF"/>
    <w:rsid w:val="00296FF5"/>
    <w:rsid w:val="002A5D98"/>
    <w:rsid w:val="002B2C0F"/>
    <w:rsid w:val="002B5822"/>
    <w:rsid w:val="002C09AC"/>
    <w:rsid w:val="002C0A44"/>
    <w:rsid w:val="002C363C"/>
    <w:rsid w:val="002D71B3"/>
    <w:rsid w:val="002E0600"/>
    <w:rsid w:val="002E2F48"/>
    <w:rsid w:val="002E4BFF"/>
    <w:rsid w:val="002E591D"/>
    <w:rsid w:val="002F1975"/>
    <w:rsid w:val="003047CC"/>
    <w:rsid w:val="00313CF7"/>
    <w:rsid w:val="00317782"/>
    <w:rsid w:val="00323E6D"/>
    <w:rsid w:val="00333D66"/>
    <w:rsid w:val="00334277"/>
    <w:rsid w:val="00335768"/>
    <w:rsid w:val="00335800"/>
    <w:rsid w:val="003466BF"/>
    <w:rsid w:val="003505CE"/>
    <w:rsid w:val="0036329E"/>
    <w:rsid w:val="003655D3"/>
    <w:rsid w:val="00366214"/>
    <w:rsid w:val="003666ED"/>
    <w:rsid w:val="0037223D"/>
    <w:rsid w:val="00372933"/>
    <w:rsid w:val="0037672B"/>
    <w:rsid w:val="00376D9B"/>
    <w:rsid w:val="00377AC8"/>
    <w:rsid w:val="00380AD3"/>
    <w:rsid w:val="00387C09"/>
    <w:rsid w:val="00392BD0"/>
    <w:rsid w:val="00392BF9"/>
    <w:rsid w:val="0039417C"/>
    <w:rsid w:val="00397382"/>
    <w:rsid w:val="003A0D24"/>
    <w:rsid w:val="003A2466"/>
    <w:rsid w:val="003A3B09"/>
    <w:rsid w:val="003B5B53"/>
    <w:rsid w:val="003C528A"/>
    <w:rsid w:val="003D0380"/>
    <w:rsid w:val="003D0929"/>
    <w:rsid w:val="003D0E13"/>
    <w:rsid w:val="003D1963"/>
    <w:rsid w:val="003D4574"/>
    <w:rsid w:val="003D6097"/>
    <w:rsid w:val="003D6928"/>
    <w:rsid w:val="003D748C"/>
    <w:rsid w:val="003E3F89"/>
    <w:rsid w:val="003E4974"/>
    <w:rsid w:val="003F759E"/>
    <w:rsid w:val="0040037B"/>
    <w:rsid w:val="0040427A"/>
    <w:rsid w:val="004047D6"/>
    <w:rsid w:val="00407312"/>
    <w:rsid w:val="00410114"/>
    <w:rsid w:val="00410D51"/>
    <w:rsid w:val="00411896"/>
    <w:rsid w:val="00411CD3"/>
    <w:rsid w:val="004132B9"/>
    <w:rsid w:val="00416DF7"/>
    <w:rsid w:val="004208A9"/>
    <w:rsid w:val="0042152B"/>
    <w:rsid w:val="004236EC"/>
    <w:rsid w:val="0042553D"/>
    <w:rsid w:val="004261F6"/>
    <w:rsid w:val="00432454"/>
    <w:rsid w:val="004531B1"/>
    <w:rsid w:val="004549D0"/>
    <w:rsid w:val="004648AC"/>
    <w:rsid w:val="0047310C"/>
    <w:rsid w:val="00481BA0"/>
    <w:rsid w:val="00482FD4"/>
    <w:rsid w:val="00493B7D"/>
    <w:rsid w:val="0049766D"/>
    <w:rsid w:val="004A7719"/>
    <w:rsid w:val="004B03E3"/>
    <w:rsid w:val="004B2304"/>
    <w:rsid w:val="004B2358"/>
    <w:rsid w:val="004C1A51"/>
    <w:rsid w:val="004C5385"/>
    <w:rsid w:val="004D0D02"/>
    <w:rsid w:val="004D11FA"/>
    <w:rsid w:val="004E0F96"/>
    <w:rsid w:val="004F1DC1"/>
    <w:rsid w:val="004F22B6"/>
    <w:rsid w:val="004F5AE2"/>
    <w:rsid w:val="00500626"/>
    <w:rsid w:val="0050286C"/>
    <w:rsid w:val="005071F3"/>
    <w:rsid w:val="00511F2F"/>
    <w:rsid w:val="00513897"/>
    <w:rsid w:val="005154D5"/>
    <w:rsid w:val="00515D81"/>
    <w:rsid w:val="005179D0"/>
    <w:rsid w:val="00517B68"/>
    <w:rsid w:val="0052194B"/>
    <w:rsid w:val="00523644"/>
    <w:rsid w:val="005252CD"/>
    <w:rsid w:val="005301EE"/>
    <w:rsid w:val="00530881"/>
    <w:rsid w:val="0054688D"/>
    <w:rsid w:val="00546ADE"/>
    <w:rsid w:val="005505C8"/>
    <w:rsid w:val="00550EF3"/>
    <w:rsid w:val="005524DD"/>
    <w:rsid w:val="00556BBE"/>
    <w:rsid w:val="00560987"/>
    <w:rsid w:val="00566E4B"/>
    <w:rsid w:val="005721DC"/>
    <w:rsid w:val="00581EC4"/>
    <w:rsid w:val="00582B6E"/>
    <w:rsid w:val="00587668"/>
    <w:rsid w:val="00590C65"/>
    <w:rsid w:val="005A4780"/>
    <w:rsid w:val="005A74F6"/>
    <w:rsid w:val="005A7C4E"/>
    <w:rsid w:val="005B2997"/>
    <w:rsid w:val="005B3612"/>
    <w:rsid w:val="005B638B"/>
    <w:rsid w:val="005B71BE"/>
    <w:rsid w:val="005C2AD7"/>
    <w:rsid w:val="005D64B2"/>
    <w:rsid w:val="005D78DE"/>
    <w:rsid w:val="005F17F1"/>
    <w:rsid w:val="005F35E7"/>
    <w:rsid w:val="006018AC"/>
    <w:rsid w:val="00601F3F"/>
    <w:rsid w:val="0060254D"/>
    <w:rsid w:val="006028D8"/>
    <w:rsid w:val="00602C8A"/>
    <w:rsid w:val="006073A8"/>
    <w:rsid w:val="00611E29"/>
    <w:rsid w:val="00611F5F"/>
    <w:rsid w:val="0061330A"/>
    <w:rsid w:val="00620890"/>
    <w:rsid w:val="00623D1A"/>
    <w:rsid w:val="006327C2"/>
    <w:rsid w:val="00635F9D"/>
    <w:rsid w:val="00636A32"/>
    <w:rsid w:val="00644CC5"/>
    <w:rsid w:val="00645662"/>
    <w:rsid w:val="00647587"/>
    <w:rsid w:val="0064758C"/>
    <w:rsid w:val="006526ED"/>
    <w:rsid w:val="00653825"/>
    <w:rsid w:val="00661132"/>
    <w:rsid w:val="00664FD0"/>
    <w:rsid w:val="00666D09"/>
    <w:rsid w:val="00666F32"/>
    <w:rsid w:val="0067160B"/>
    <w:rsid w:val="00675A76"/>
    <w:rsid w:val="00677AC7"/>
    <w:rsid w:val="0068066A"/>
    <w:rsid w:val="006809B9"/>
    <w:rsid w:val="00680BFE"/>
    <w:rsid w:val="00681B61"/>
    <w:rsid w:val="00686C60"/>
    <w:rsid w:val="00686E6C"/>
    <w:rsid w:val="00694228"/>
    <w:rsid w:val="00697EE4"/>
    <w:rsid w:val="006A234B"/>
    <w:rsid w:val="006A3E56"/>
    <w:rsid w:val="006B2CA2"/>
    <w:rsid w:val="006B3FB3"/>
    <w:rsid w:val="006B40DB"/>
    <w:rsid w:val="006B78B5"/>
    <w:rsid w:val="006D16A1"/>
    <w:rsid w:val="006D371C"/>
    <w:rsid w:val="006D3AD5"/>
    <w:rsid w:val="006D3B27"/>
    <w:rsid w:val="006D6690"/>
    <w:rsid w:val="006E27B0"/>
    <w:rsid w:val="006E7E80"/>
    <w:rsid w:val="00706E7C"/>
    <w:rsid w:val="00712D4E"/>
    <w:rsid w:val="00720CBE"/>
    <w:rsid w:val="007330B8"/>
    <w:rsid w:val="0073655D"/>
    <w:rsid w:val="00736F10"/>
    <w:rsid w:val="007377B6"/>
    <w:rsid w:val="007416B6"/>
    <w:rsid w:val="00750C24"/>
    <w:rsid w:val="007577C6"/>
    <w:rsid w:val="007603F8"/>
    <w:rsid w:val="007630DE"/>
    <w:rsid w:val="00764A80"/>
    <w:rsid w:val="00774751"/>
    <w:rsid w:val="0077FBE7"/>
    <w:rsid w:val="0078050B"/>
    <w:rsid w:val="00784B81"/>
    <w:rsid w:val="00784CE8"/>
    <w:rsid w:val="007A00CE"/>
    <w:rsid w:val="007A346E"/>
    <w:rsid w:val="007A41F8"/>
    <w:rsid w:val="007A4A1C"/>
    <w:rsid w:val="007B3010"/>
    <w:rsid w:val="007C37AF"/>
    <w:rsid w:val="007C77F6"/>
    <w:rsid w:val="007D6995"/>
    <w:rsid w:val="007E13E6"/>
    <w:rsid w:val="007E4BBD"/>
    <w:rsid w:val="007F08E3"/>
    <w:rsid w:val="007F1512"/>
    <w:rsid w:val="007F5C71"/>
    <w:rsid w:val="007F660B"/>
    <w:rsid w:val="008000EC"/>
    <w:rsid w:val="00801EBE"/>
    <w:rsid w:val="00804515"/>
    <w:rsid w:val="00810E0F"/>
    <w:rsid w:val="00810EF9"/>
    <w:rsid w:val="0081238A"/>
    <w:rsid w:val="00816AE9"/>
    <w:rsid w:val="008240F2"/>
    <w:rsid w:val="0082489A"/>
    <w:rsid w:val="00827CE5"/>
    <w:rsid w:val="00830FBD"/>
    <w:rsid w:val="00831FD5"/>
    <w:rsid w:val="00832E46"/>
    <w:rsid w:val="00842258"/>
    <w:rsid w:val="00847F07"/>
    <w:rsid w:val="0085693C"/>
    <w:rsid w:val="008636A6"/>
    <w:rsid w:val="0086535B"/>
    <w:rsid w:val="00866670"/>
    <w:rsid w:val="008669BD"/>
    <w:rsid w:val="008718C4"/>
    <w:rsid w:val="00871FB3"/>
    <w:rsid w:val="008748EE"/>
    <w:rsid w:val="0087598C"/>
    <w:rsid w:val="00880C24"/>
    <w:rsid w:val="00883746"/>
    <w:rsid w:val="008919BC"/>
    <w:rsid w:val="00896E99"/>
    <w:rsid w:val="008A0279"/>
    <w:rsid w:val="008A75AD"/>
    <w:rsid w:val="008B652A"/>
    <w:rsid w:val="008B7C50"/>
    <w:rsid w:val="008C21A6"/>
    <w:rsid w:val="008C3A5C"/>
    <w:rsid w:val="008E5D62"/>
    <w:rsid w:val="008F4A9E"/>
    <w:rsid w:val="009034B1"/>
    <w:rsid w:val="009043A5"/>
    <w:rsid w:val="00906B8F"/>
    <w:rsid w:val="0091066B"/>
    <w:rsid w:val="00913026"/>
    <w:rsid w:val="00927027"/>
    <w:rsid w:val="009273DB"/>
    <w:rsid w:val="009276D6"/>
    <w:rsid w:val="0092778E"/>
    <w:rsid w:val="00930B72"/>
    <w:rsid w:val="0093408D"/>
    <w:rsid w:val="00935ED9"/>
    <w:rsid w:val="00937490"/>
    <w:rsid w:val="009423B6"/>
    <w:rsid w:val="00944AD5"/>
    <w:rsid w:val="00952CED"/>
    <w:rsid w:val="009560A7"/>
    <w:rsid w:val="009668DA"/>
    <w:rsid w:val="00967097"/>
    <w:rsid w:val="0096757D"/>
    <w:rsid w:val="0097447E"/>
    <w:rsid w:val="0098122A"/>
    <w:rsid w:val="00982885"/>
    <w:rsid w:val="0099017A"/>
    <w:rsid w:val="00993965"/>
    <w:rsid w:val="009A5EFE"/>
    <w:rsid w:val="009A734B"/>
    <w:rsid w:val="009B467F"/>
    <w:rsid w:val="009C52DE"/>
    <w:rsid w:val="009D2C97"/>
    <w:rsid w:val="009D2D15"/>
    <w:rsid w:val="009D4B0E"/>
    <w:rsid w:val="009D6B83"/>
    <w:rsid w:val="009D6D22"/>
    <w:rsid w:val="009E511E"/>
    <w:rsid w:val="009F5A43"/>
    <w:rsid w:val="00A00EBC"/>
    <w:rsid w:val="00A019C4"/>
    <w:rsid w:val="00A05C4C"/>
    <w:rsid w:val="00A12490"/>
    <w:rsid w:val="00A17BC1"/>
    <w:rsid w:val="00A37068"/>
    <w:rsid w:val="00A432B1"/>
    <w:rsid w:val="00A4442E"/>
    <w:rsid w:val="00A445E1"/>
    <w:rsid w:val="00A46407"/>
    <w:rsid w:val="00A47D11"/>
    <w:rsid w:val="00A50D17"/>
    <w:rsid w:val="00A57F5F"/>
    <w:rsid w:val="00A63126"/>
    <w:rsid w:val="00A7627C"/>
    <w:rsid w:val="00A7713F"/>
    <w:rsid w:val="00A77E0F"/>
    <w:rsid w:val="00A8120A"/>
    <w:rsid w:val="00A83E2D"/>
    <w:rsid w:val="00A83F47"/>
    <w:rsid w:val="00A84CEA"/>
    <w:rsid w:val="00A860CE"/>
    <w:rsid w:val="00A90934"/>
    <w:rsid w:val="00A91586"/>
    <w:rsid w:val="00A92AD0"/>
    <w:rsid w:val="00A93819"/>
    <w:rsid w:val="00A95F2C"/>
    <w:rsid w:val="00A96874"/>
    <w:rsid w:val="00AA555D"/>
    <w:rsid w:val="00AB5F27"/>
    <w:rsid w:val="00AC092C"/>
    <w:rsid w:val="00AC312B"/>
    <w:rsid w:val="00AD16F0"/>
    <w:rsid w:val="00AD1C34"/>
    <w:rsid w:val="00AD7B8A"/>
    <w:rsid w:val="00AD7F19"/>
    <w:rsid w:val="00AE140F"/>
    <w:rsid w:val="00AE7C72"/>
    <w:rsid w:val="00B00721"/>
    <w:rsid w:val="00B120E2"/>
    <w:rsid w:val="00B20E62"/>
    <w:rsid w:val="00B26F76"/>
    <w:rsid w:val="00B36787"/>
    <w:rsid w:val="00B4051A"/>
    <w:rsid w:val="00B415B6"/>
    <w:rsid w:val="00B417B7"/>
    <w:rsid w:val="00B4229C"/>
    <w:rsid w:val="00B4265D"/>
    <w:rsid w:val="00B43100"/>
    <w:rsid w:val="00B476F9"/>
    <w:rsid w:val="00B47AF4"/>
    <w:rsid w:val="00B51143"/>
    <w:rsid w:val="00B634DD"/>
    <w:rsid w:val="00B67966"/>
    <w:rsid w:val="00B753BF"/>
    <w:rsid w:val="00B7588B"/>
    <w:rsid w:val="00B819A7"/>
    <w:rsid w:val="00B85498"/>
    <w:rsid w:val="00B87DD5"/>
    <w:rsid w:val="00B90FEF"/>
    <w:rsid w:val="00B91782"/>
    <w:rsid w:val="00BA0AC8"/>
    <w:rsid w:val="00BA2F83"/>
    <w:rsid w:val="00BA75A3"/>
    <w:rsid w:val="00BB3757"/>
    <w:rsid w:val="00BC24FC"/>
    <w:rsid w:val="00BC28FC"/>
    <w:rsid w:val="00BD1B4B"/>
    <w:rsid w:val="00BD7327"/>
    <w:rsid w:val="00BE58F8"/>
    <w:rsid w:val="00BF67C4"/>
    <w:rsid w:val="00C03985"/>
    <w:rsid w:val="00C0468C"/>
    <w:rsid w:val="00C21CC1"/>
    <w:rsid w:val="00C22B09"/>
    <w:rsid w:val="00C233F9"/>
    <w:rsid w:val="00C260B8"/>
    <w:rsid w:val="00C3085A"/>
    <w:rsid w:val="00C400D7"/>
    <w:rsid w:val="00C46141"/>
    <w:rsid w:val="00C472FE"/>
    <w:rsid w:val="00C47C2C"/>
    <w:rsid w:val="00C70139"/>
    <w:rsid w:val="00C729E1"/>
    <w:rsid w:val="00C74C4C"/>
    <w:rsid w:val="00C75A1E"/>
    <w:rsid w:val="00C87376"/>
    <w:rsid w:val="00C9344B"/>
    <w:rsid w:val="00C93E4C"/>
    <w:rsid w:val="00C978BC"/>
    <w:rsid w:val="00CA20D4"/>
    <w:rsid w:val="00CA3608"/>
    <w:rsid w:val="00CA3ED9"/>
    <w:rsid w:val="00CA7D92"/>
    <w:rsid w:val="00CB161E"/>
    <w:rsid w:val="00CC6A08"/>
    <w:rsid w:val="00CD1CE9"/>
    <w:rsid w:val="00CD323D"/>
    <w:rsid w:val="00CD385E"/>
    <w:rsid w:val="00CE341B"/>
    <w:rsid w:val="00CE46A2"/>
    <w:rsid w:val="00CF28AA"/>
    <w:rsid w:val="00CF38A4"/>
    <w:rsid w:val="00CF4DC7"/>
    <w:rsid w:val="00CF56B6"/>
    <w:rsid w:val="00CF6240"/>
    <w:rsid w:val="00D02605"/>
    <w:rsid w:val="00D030E0"/>
    <w:rsid w:val="00D15E8A"/>
    <w:rsid w:val="00D2057D"/>
    <w:rsid w:val="00D20A79"/>
    <w:rsid w:val="00D239A7"/>
    <w:rsid w:val="00D245D5"/>
    <w:rsid w:val="00D31873"/>
    <w:rsid w:val="00D52D92"/>
    <w:rsid w:val="00D53578"/>
    <w:rsid w:val="00D567AB"/>
    <w:rsid w:val="00D57F7C"/>
    <w:rsid w:val="00D6215E"/>
    <w:rsid w:val="00D63738"/>
    <w:rsid w:val="00D64EBA"/>
    <w:rsid w:val="00D735E4"/>
    <w:rsid w:val="00D736D6"/>
    <w:rsid w:val="00D777DC"/>
    <w:rsid w:val="00D77B56"/>
    <w:rsid w:val="00D83BEF"/>
    <w:rsid w:val="00D848EC"/>
    <w:rsid w:val="00D9131A"/>
    <w:rsid w:val="00D95A43"/>
    <w:rsid w:val="00D96843"/>
    <w:rsid w:val="00DA41FB"/>
    <w:rsid w:val="00DA5BCD"/>
    <w:rsid w:val="00DB56FF"/>
    <w:rsid w:val="00DB5925"/>
    <w:rsid w:val="00DB7EB2"/>
    <w:rsid w:val="00DC202C"/>
    <w:rsid w:val="00DC3B52"/>
    <w:rsid w:val="00DC4014"/>
    <w:rsid w:val="00DC7DC3"/>
    <w:rsid w:val="00DD200F"/>
    <w:rsid w:val="00DD24D3"/>
    <w:rsid w:val="00DD5AAA"/>
    <w:rsid w:val="00DE120B"/>
    <w:rsid w:val="00DE4A6B"/>
    <w:rsid w:val="00DE4B2A"/>
    <w:rsid w:val="00DE5BC2"/>
    <w:rsid w:val="00E02CEB"/>
    <w:rsid w:val="00E069F2"/>
    <w:rsid w:val="00E070F5"/>
    <w:rsid w:val="00E10573"/>
    <w:rsid w:val="00E107F1"/>
    <w:rsid w:val="00E111A3"/>
    <w:rsid w:val="00E11DCF"/>
    <w:rsid w:val="00E15928"/>
    <w:rsid w:val="00E201FB"/>
    <w:rsid w:val="00E319B5"/>
    <w:rsid w:val="00E33F3E"/>
    <w:rsid w:val="00E35FA5"/>
    <w:rsid w:val="00E4024C"/>
    <w:rsid w:val="00E42C1E"/>
    <w:rsid w:val="00E44F82"/>
    <w:rsid w:val="00E45D30"/>
    <w:rsid w:val="00E51008"/>
    <w:rsid w:val="00E535BD"/>
    <w:rsid w:val="00E54761"/>
    <w:rsid w:val="00E54C40"/>
    <w:rsid w:val="00E60D2F"/>
    <w:rsid w:val="00E623C3"/>
    <w:rsid w:val="00E664DC"/>
    <w:rsid w:val="00E714D0"/>
    <w:rsid w:val="00E77C51"/>
    <w:rsid w:val="00E77C80"/>
    <w:rsid w:val="00E82436"/>
    <w:rsid w:val="00E8330B"/>
    <w:rsid w:val="00E83A1C"/>
    <w:rsid w:val="00E84886"/>
    <w:rsid w:val="00E97F58"/>
    <w:rsid w:val="00E97FE2"/>
    <w:rsid w:val="00EA3999"/>
    <w:rsid w:val="00EA4F68"/>
    <w:rsid w:val="00EA74F2"/>
    <w:rsid w:val="00EB1D65"/>
    <w:rsid w:val="00EB1FC9"/>
    <w:rsid w:val="00EB544D"/>
    <w:rsid w:val="00EB72EA"/>
    <w:rsid w:val="00EB76D3"/>
    <w:rsid w:val="00EC38C7"/>
    <w:rsid w:val="00EC632E"/>
    <w:rsid w:val="00EC7CE4"/>
    <w:rsid w:val="00ED2A5E"/>
    <w:rsid w:val="00ED3960"/>
    <w:rsid w:val="00ED70D7"/>
    <w:rsid w:val="00EE08A0"/>
    <w:rsid w:val="00EE2201"/>
    <w:rsid w:val="00EF4FCF"/>
    <w:rsid w:val="00F007CE"/>
    <w:rsid w:val="00F042E3"/>
    <w:rsid w:val="00F050AF"/>
    <w:rsid w:val="00F1405A"/>
    <w:rsid w:val="00F26ACF"/>
    <w:rsid w:val="00F341D7"/>
    <w:rsid w:val="00F43D9F"/>
    <w:rsid w:val="00F45B80"/>
    <w:rsid w:val="00F51D11"/>
    <w:rsid w:val="00F51E50"/>
    <w:rsid w:val="00F62198"/>
    <w:rsid w:val="00F6488A"/>
    <w:rsid w:val="00F65189"/>
    <w:rsid w:val="00F661B4"/>
    <w:rsid w:val="00F81BA3"/>
    <w:rsid w:val="00F909F1"/>
    <w:rsid w:val="00F949C6"/>
    <w:rsid w:val="00FA0279"/>
    <w:rsid w:val="00FA32F3"/>
    <w:rsid w:val="00FA7726"/>
    <w:rsid w:val="00FB5D87"/>
    <w:rsid w:val="00FC03DD"/>
    <w:rsid w:val="00FC2E45"/>
    <w:rsid w:val="00FC78A5"/>
    <w:rsid w:val="00FC7AFF"/>
    <w:rsid w:val="00FD0603"/>
    <w:rsid w:val="00FD39CF"/>
    <w:rsid w:val="00FE508A"/>
    <w:rsid w:val="00FF0CC4"/>
    <w:rsid w:val="00FF5307"/>
    <w:rsid w:val="00FF5A5A"/>
    <w:rsid w:val="094602A5"/>
    <w:rsid w:val="09F59BE4"/>
    <w:rsid w:val="0B409A0E"/>
    <w:rsid w:val="0C634BEA"/>
    <w:rsid w:val="0E34D0A1"/>
    <w:rsid w:val="0E5B6099"/>
    <w:rsid w:val="0EBE59D8"/>
    <w:rsid w:val="10B1EFC6"/>
    <w:rsid w:val="1262F70D"/>
    <w:rsid w:val="126CDCD1"/>
    <w:rsid w:val="1340542A"/>
    <w:rsid w:val="1585776A"/>
    <w:rsid w:val="1754ED62"/>
    <w:rsid w:val="1758D1F1"/>
    <w:rsid w:val="1B906B83"/>
    <w:rsid w:val="1F57DFEB"/>
    <w:rsid w:val="278C650C"/>
    <w:rsid w:val="2A058FD0"/>
    <w:rsid w:val="2F8A5DD8"/>
    <w:rsid w:val="3C74E68A"/>
    <w:rsid w:val="417F828A"/>
    <w:rsid w:val="47C5DFAB"/>
    <w:rsid w:val="4B680190"/>
    <w:rsid w:val="50119AD0"/>
    <w:rsid w:val="5AD32294"/>
    <w:rsid w:val="5D133596"/>
    <w:rsid w:val="5DB5E62F"/>
    <w:rsid w:val="64B7D88C"/>
    <w:rsid w:val="65718673"/>
    <w:rsid w:val="69816516"/>
    <w:rsid w:val="7420635F"/>
    <w:rsid w:val="74D5D546"/>
    <w:rsid w:val="7679D9C9"/>
    <w:rsid w:val="777169E7"/>
    <w:rsid w:val="7A7A42D2"/>
    <w:rsid w:val="7E7C8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53AE065"/>
  <w15:docId w15:val="{1CFE151F-1765-452F-8930-F7395C4C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F2"/>
    <w:pPr>
      <w:jc w:val="both"/>
    </w:pPr>
    <w:rPr>
      <w:rFonts w:ascii="Times New Roman" w:hAnsi="Times New Roman"/>
      <w:sz w:val="24"/>
    </w:rPr>
  </w:style>
  <w:style w:type="paragraph" w:styleId="Heading1">
    <w:name w:val="heading 1"/>
    <w:basedOn w:val="Normal"/>
    <w:next w:val="Normal"/>
    <w:link w:val="Heading1Char"/>
    <w:uiPriority w:val="9"/>
    <w:qFormat/>
    <w:rsid w:val="009E511E"/>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194B"/>
    <w:pPr>
      <w:keepNext/>
      <w:keepLines/>
      <w:numPr>
        <w:ilvl w:val="1"/>
        <w:numId w:val="1"/>
      </w:numPr>
      <w:spacing w:before="4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52194B"/>
    <w:pPr>
      <w:keepNext/>
      <w:keepLines/>
      <w:numPr>
        <w:ilvl w:val="2"/>
        <w:numId w:val="1"/>
      </w:numPr>
      <w:spacing w:before="40" w:after="0"/>
      <w:outlineLvl w:val="2"/>
    </w:pPr>
    <w:rPr>
      <w:rFonts w:asciiTheme="majorHAnsi" w:eastAsiaTheme="majorEastAsia" w:hAnsiTheme="majorHAnsi" w:cstheme="majorBidi"/>
      <w:color w:val="243F60" w:themeColor="accent1" w:themeShade="7F"/>
      <w:sz w:val="26"/>
      <w:szCs w:val="24"/>
    </w:rPr>
  </w:style>
  <w:style w:type="paragraph" w:styleId="Heading4">
    <w:name w:val="heading 4"/>
    <w:basedOn w:val="Normal"/>
    <w:next w:val="Normal"/>
    <w:link w:val="Heading4Char"/>
    <w:uiPriority w:val="9"/>
    <w:semiHidden/>
    <w:unhideWhenUsed/>
    <w:qFormat/>
    <w:rsid w:val="00C472F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72F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72F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72F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72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72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of contents numbered,Opsom 1,List Paragraph21,List Paragraph1,Lentele,List Paragraph2,ERP-List Paragraph,List Paragraph11,Bullet EY,Paragraphe de liste 2,Reference list,Normal bullet 2,Numbered List,1st level - Bullet List Paragraph"/>
    <w:basedOn w:val="Normal"/>
    <w:link w:val="ListParagraphChar"/>
    <w:uiPriority w:val="34"/>
    <w:qFormat/>
    <w:rsid w:val="00F909F1"/>
    <w:pPr>
      <w:ind w:left="720"/>
      <w:contextualSpacing/>
    </w:pPr>
  </w:style>
  <w:style w:type="paragraph" w:styleId="Header">
    <w:name w:val="header"/>
    <w:basedOn w:val="Normal"/>
    <w:link w:val="HeaderChar"/>
    <w:uiPriority w:val="99"/>
    <w:unhideWhenUsed/>
    <w:rsid w:val="00FD0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03"/>
  </w:style>
  <w:style w:type="paragraph" w:styleId="Footer">
    <w:name w:val="footer"/>
    <w:basedOn w:val="Normal"/>
    <w:link w:val="FooterChar"/>
    <w:uiPriority w:val="99"/>
    <w:unhideWhenUsed/>
    <w:rsid w:val="00FD0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03"/>
  </w:style>
  <w:style w:type="paragraph" w:styleId="FootnoteText">
    <w:name w:val="footnote text"/>
    <w:aliases w:val="Char Char,Car,Footnote Text Char1,Footnote Text Char1 Char Char,Footnote Text Char Char Char Char,Footnote Text Char Char Char Char Char Char Char Char,Footnote Text Char Char1,Schriftart: 9 pt,f,Schriftart: 10 pt,Schriftart: 8 pt,o,Char"/>
    <w:basedOn w:val="Normal"/>
    <w:link w:val="FootnoteTextChar"/>
    <w:uiPriority w:val="99"/>
    <w:unhideWhenUsed/>
    <w:qFormat/>
    <w:rsid w:val="00FD0603"/>
    <w:pPr>
      <w:spacing w:after="0" w:line="240" w:lineRule="auto"/>
    </w:pPr>
    <w:rPr>
      <w:sz w:val="20"/>
      <w:szCs w:val="20"/>
    </w:rPr>
  </w:style>
  <w:style w:type="character" w:customStyle="1" w:styleId="FootnoteTextChar">
    <w:name w:val="Footnote Text Char"/>
    <w:aliases w:val="Char Char Char,Car Char,Footnote Text Char1 Char,Footnote Text Char1 Char Char Char,Footnote Text Char Char Char Char Char,Footnote Text Char Char Char Char Char Char Char Char Char,Footnote Text Char Char1 Char,Schriftart: 9 pt Char"/>
    <w:basedOn w:val="DefaultParagraphFont"/>
    <w:link w:val="FootnoteText"/>
    <w:uiPriority w:val="99"/>
    <w:rsid w:val="00FD0603"/>
    <w:rPr>
      <w:sz w:val="20"/>
      <w:szCs w:val="20"/>
    </w:rPr>
  </w:style>
  <w:style w:type="character" w:styleId="FootnoteReference">
    <w:name w:val="footnote reference"/>
    <w:aliases w:val="SUPERS,BVI fnr,RSC_WP (footnote reference),number,Footnote reference number,Footnote symbol,note TESI,-E Fußnotenzeichen,Footnote,Times 10 Point,Exposant 3 Point,Footnote number,Footnote Reference Number,vnv,Fußnotenzeichen,R,stylish"/>
    <w:basedOn w:val="DefaultParagraphFont"/>
    <w:link w:val="SUPERSCharCharCharCharCharCharCharChar"/>
    <w:uiPriority w:val="99"/>
    <w:unhideWhenUsed/>
    <w:qFormat/>
    <w:rsid w:val="00FD0603"/>
    <w:rPr>
      <w:vertAlign w:val="superscript"/>
    </w:rPr>
  </w:style>
  <w:style w:type="character" w:customStyle="1" w:styleId="Heading1Char">
    <w:name w:val="Heading 1 Char"/>
    <w:basedOn w:val="DefaultParagraphFont"/>
    <w:link w:val="Heading1"/>
    <w:uiPriority w:val="9"/>
    <w:rsid w:val="009E51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2194B"/>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52194B"/>
    <w:rPr>
      <w:rFonts w:asciiTheme="majorHAnsi" w:eastAsiaTheme="majorEastAsia" w:hAnsiTheme="majorHAnsi" w:cstheme="majorBidi"/>
      <w:color w:val="243F60" w:themeColor="accent1" w:themeShade="7F"/>
      <w:sz w:val="26"/>
      <w:szCs w:val="24"/>
    </w:rPr>
  </w:style>
  <w:style w:type="character" w:styleId="CommentReference">
    <w:name w:val="annotation reference"/>
    <w:basedOn w:val="DefaultParagraphFont"/>
    <w:uiPriority w:val="99"/>
    <w:semiHidden/>
    <w:unhideWhenUsed/>
    <w:rsid w:val="00ED2A5E"/>
    <w:rPr>
      <w:sz w:val="16"/>
      <w:szCs w:val="16"/>
    </w:rPr>
  </w:style>
  <w:style w:type="paragraph" w:styleId="CommentText">
    <w:name w:val="annotation text"/>
    <w:basedOn w:val="Normal"/>
    <w:link w:val="CommentTextChar"/>
    <w:uiPriority w:val="99"/>
    <w:unhideWhenUsed/>
    <w:rsid w:val="00ED2A5E"/>
    <w:pPr>
      <w:spacing w:line="240" w:lineRule="auto"/>
    </w:pPr>
    <w:rPr>
      <w:sz w:val="20"/>
      <w:szCs w:val="20"/>
    </w:rPr>
  </w:style>
  <w:style w:type="character" w:customStyle="1" w:styleId="CommentTextChar">
    <w:name w:val="Comment Text Char"/>
    <w:basedOn w:val="DefaultParagraphFont"/>
    <w:link w:val="CommentText"/>
    <w:uiPriority w:val="99"/>
    <w:rsid w:val="00ED2A5E"/>
    <w:rPr>
      <w:sz w:val="20"/>
      <w:szCs w:val="20"/>
    </w:rPr>
  </w:style>
  <w:style w:type="paragraph" w:styleId="CommentSubject">
    <w:name w:val="annotation subject"/>
    <w:basedOn w:val="CommentText"/>
    <w:next w:val="CommentText"/>
    <w:link w:val="CommentSubjectChar"/>
    <w:uiPriority w:val="99"/>
    <w:semiHidden/>
    <w:unhideWhenUsed/>
    <w:rsid w:val="00ED2A5E"/>
    <w:rPr>
      <w:b/>
      <w:bCs/>
    </w:rPr>
  </w:style>
  <w:style w:type="character" w:customStyle="1" w:styleId="CommentSubjectChar">
    <w:name w:val="Comment Subject Char"/>
    <w:basedOn w:val="CommentTextChar"/>
    <w:link w:val="CommentSubject"/>
    <w:uiPriority w:val="99"/>
    <w:semiHidden/>
    <w:rsid w:val="00ED2A5E"/>
    <w:rPr>
      <w:b/>
      <w:bCs/>
      <w:sz w:val="20"/>
      <w:szCs w:val="20"/>
    </w:rPr>
  </w:style>
  <w:style w:type="paragraph" w:styleId="BalloonText">
    <w:name w:val="Balloon Text"/>
    <w:basedOn w:val="Normal"/>
    <w:link w:val="BalloonTextChar"/>
    <w:uiPriority w:val="99"/>
    <w:semiHidden/>
    <w:unhideWhenUsed/>
    <w:rsid w:val="00ED2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A5E"/>
    <w:rPr>
      <w:rFonts w:ascii="Segoe UI" w:hAnsi="Segoe UI" w:cs="Segoe UI"/>
      <w:sz w:val="18"/>
      <w:szCs w:val="18"/>
    </w:rPr>
  </w:style>
  <w:style w:type="paragraph" w:customStyle="1" w:styleId="SUPERSCharCharCharCharCharCharCharChar">
    <w:name w:val="SUPERS Char Char Char Char Char Char Char Char"/>
    <w:aliases w:val="SUPERS Tegn Char Char Char Char Char Char Char Char Char,Footnote Reference Number Tegn Char Char Char Char Char Char Char Char Char"/>
    <w:basedOn w:val="Normal"/>
    <w:link w:val="FootnoteReference"/>
    <w:rsid w:val="00F81BA3"/>
    <w:pPr>
      <w:spacing w:after="160" w:line="240" w:lineRule="exact"/>
    </w:pPr>
    <w:rPr>
      <w:vertAlign w:val="superscript"/>
    </w:rPr>
  </w:style>
  <w:style w:type="character" w:customStyle="1" w:styleId="ListParagraphChar">
    <w:name w:val="List Paragraph Char"/>
    <w:aliases w:val="Table of contents numbered Char,Opsom 1 Char,List Paragraph21 Char,List Paragraph1 Char,Lentele Char,List Paragraph2 Char,ERP-List Paragraph Char,List Paragraph11 Char,Bullet EY Char,Paragraphe de liste 2 Char,Reference list Char"/>
    <w:basedOn w:val="DefaultParagraphFont"/>
    <w:link w:val="ListParagraph"/>
    <w:uiPriority w:val="34"/>
    <w:qFormat/>
    <w:rsid w:val="00C472FE"/>
  </w:style>
  <w:style w:type="character" w:customStyle="1" w:styleId="Heading4Char">
    <w:name w:val="Heading 4 Char"/>
    <w:basedOn w:val="DefaultParagraphFont"/>
    <w:link w:val="Heading4"/>
    <w:uiPriority w:val="9"/>
    <w:semiHidden/>
    <w:rsid w:val="00C472FE"/>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472F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472F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472F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472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72F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155C2"/>
    <w:rPr>
      <w:color w:val="0000FF" w:themeColor="hyperlink"/>
      <w:u w:val="single"/>
    </w:rPr>
  </w:style>
  <w:style w:type="character" w:styleId="FollowedHyperlink">
    <w:name w:val="FollowedHyperlink"/>
    <w:basedOn w:val="DefaultParagraphFont"/>
    <w:uiPriority w:val="99"/>
    <w:semiHidden/>
    <w:unhideWhenUsed/>
    <w:rsid w:val="006073A8"/>
    <w:rPr>
      <w:color w:val="800080" w:themeColor="followedHyperlink"/>
      <w:u w:val="single"/>
    </w:rPr>
  </w:style>
  <w:style w:type="paragraph" w:styleId="Revision">
    <w:name w:val="Revision"/>
    <w:hidden/>
    <w:uiPriority w:val="99"/>
    <w:semiHidden/>
    <w:rsid w:val="006B78B5"/>
    <w:pPr>
      <w:spacing w:after="0" w:line="240" w:lineRule="auto"/>
    </w:pPr>
  </w:style>
  <w:style w:type="paragraph" w:styleId="Subtitle">
    <w:name w:val="Subtitle"/>
    <w:basedOn w:val="Normal"/>
    <w:next w:val="Normal"/>
    <w:link w:val="SubtitleChar"/>
    <w:uiPriority w:val="11"/>
    <w:qFormat/>
    <w:rsid w:val="00B819A7"/>
    <w:pPr>
      <w:numPr>
        <w:ilvl w:val="1"/>
      </w:numPr>
      <w:spacing w:before="120" w:after="0"/>
    </w:pPr>
    <w:rPr>
      <w:rFonts w:eastAsiaTheme="minorEastAsia"/>
      <w:b/>
      <w:spacing w:val="15"/>
    </w:rPr>
  </w:style>
  <w:style w:type="character" w:customStyle="1" w:styleId="SubtitleChar">
    <w:name w:val="Subtitle Char"/>
    <w:basedOn w:val="DefaultParagraphFont"/>
    <w:link w:val="Subtitle"/>
    <w:uiPriority w:val="11"/>
    <w:rsid w:val="00B819A7"/>
    <w:rPr>
      <w:rFonts w:eastAsiaTheme="minorEastAsia"/>
      <w:b/>
      <w:spacing w:val="15"/>
    </w:rPr>
  </w:style>
  <w:style w:type="character" w:styleId="SubtleEmphasis">
    <w:name w:val="Subtle Emphasis"/>
    <w:basedOn w:val="DefaultParagraphFont"/>
    <w:uiPriority w:val="19"/>
    <w:qFormat/>
    <w:rsid w:val="00B819A7"/>
    <w:rPr>
      <w:i/>
      <w:iCs/>
      <w:color w:val="404040" w:themeColor="text1" w:themeTint="BF"/>
    </w:rPr>
  </w:style>
  <w:style w:type="paragraph" w:styleId="TOCHeading">
    <w:name w:val="TOC Heading"/>
    <w:basedOn w:val="Heading1"/>
    <w:next w:val="Normal"/>
    <w:uiPriority w:val="39"/>
    <w:unhideWhenUsed/>
    <w:qFormat/>
    <w:rsid w:val="00B819A7"/>
    <w:pPr>
      <w:numPr>
        <w:numId w:val="0"/>
      </w:numPr>
      <w:spacing w:line="259" w:lineRule="auto"/>
      <w:outlineLvl w:val="9"/>
    </w:pPr>
    <w:rPr>
      <w:lang w:val="en-US"/>
    </w:rPr>
  </w:style>
  <w:style w:type="paragraph" w:styleId="TOC1">
    <w:name w:val="toc 1"/>
    <w:basedOn w:val="Normal"/>
    <w:next w:val="Normal"/>
    <w:autoRedefine/>
    <w:uiPriority w:val="39"/>
    <w:unhideWhenUsed/>
    <w:rsid w:val="0040427A"/>
    <w:pPr>
      <w:tabs>
        <w:tab w:val="left" w:pos="440"/>
        <w:tab w:val="right" w:leader="dot" w:pos="9016"/>
      </w:tabs>
      <w:spacing w:after="100"/>
    </w:pPr>
    <w:rPr>
      <w:b/>
      <w:noProof/>
      <w:sz w:val="28"/>
      <w:szCs w:val="28"/>
    </w:rPr>
  </w:style>
  <w:style w:type="paragraph" w:styleId="TOC2">
    <w:name w:val="toc 2"/>
    <w:basedOn w:val="Normal"/>
    <w:next w:val="Normal"/>
    <w:autoRedefine/>
    <w:uiPriority w:val="39"/>
    <w:unhideWhenUsed/>
    <w:rsid w:val="00E97F58"/>
    <w:pPr>
      <w:tabs>
        <w:tab w:val="left" w:pos="880"/>
        <w:tab w:val="right" w:leader="dot" w:pos="9016"/>
      </w:tabs>
      <w:spacing w:after="0"/>
      <w:ind w:left="238"/>
    </w:pPr>
  </w:style>
  <w:style w:type="paragraph" w:customStyle="1" w:styleId="LegalNumPar">
    <w:name w:val="LegalNumPar"/>
    <w:basedOn w:val="Normal"/>
    <w:rsid w:val="00B67966"/>
    <w:pPr>
      <w:numPr>
        <w:numId w:val="8"/>
      </w:numPr>
      <w:spacing w:line="360" w:lineRule="auto"/>
    </w:pPr>
  </w:style>
  <w:style w:type="paragraph" w:customStyle="1" w:styleId="LegalNumPar2">
    <w:name w:val="LegalNumPar2"/>
    <w:basedOn w:val="Normal"/>
    <w:rsid w:val="00B67966"/>
    <w:pPr>
      <w:numPr>
        <w:ilvl w:val="1"/>
        <w:numId w:val="8"/>
      </w:numPr>
      <w:spacing w:line="360" w:lineRule="auto"/>
    </w:pPr>
  </w:style>
  <w:style w:type="paragraph" w:customStyle="1" w:styleId="LegalNumPar3">
    <w:name w:val="LegalNumPar3"/>
    <w:basedOn w:val="Normal"/>
    <w:rsid w:val="00B67966"/>
    <w:pPr>
      <w:numPr>
        <w:ilvl w:val="2"/>
        <w:numId w:val="8"/>
      </w:numPr>
      <w:spacing w:line="360" w:lineRule="auto"/>
    </w:pPr>
  </w:style>
  <w:style w:type="paragraph" w:customStyle="1" w:styleId="Default">
    <w:name w:val="Default"/>
    <w:rsid w:val="003D609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2BD0"/>
    <w:pPr>
      <w:spacing w:before="100" w:beforeAutospacing="1" w:after="100" w:afterAutospacing="1" w:line="240" w:lineRule="auto"/>
    </w:pPr>
    <w:rPr>
      <w:rFonts w:eastAsiaTheme="minorEastAsia" w:cs="Times New Roman"/>
      <w:szCs w:val="24"/>
      <w:lang w:eastAsia="en-GB"/>
    </w:rPr>
  </w:style>
  <w:style w:type="paragraph" w:styleId="TOC3">
    <w:name w:val="toc 3"/>
    <w:basedOn w:val="Normal"/>
    <w:next w:val="Normal"/>
    <w:autoRedefine/>
    <w:uiPriority w:val="39"/>
    <w:unhideWhenUsed/>
    <w:rsid w:val="0040427A"/>
    <w:pPr>
      <w:spacing w:after="100"/>
      <w:ind w:left="480"/>
    </w:pPr>
  </w:style>
  <w:style w:type="paragraph" w:customStyle="1" w:styleId="MNP1">
    <w:name w:val="MNP1"/>
    <w:qFormat/>
    <w:rsid w:val="00AD16F0"/>
    <w:pPr>
      <w:numPr>
        <w:numId w:val="15"/>
      </w:numPr>
      <w:spacing w:after="120" w:line="240" w:lineRule="auto"/>
      <w:jc w:val="center"/>
    </w:pPr>
    <w:rPr>
      <w:rFonts w:ascii="Arial" w:eastAsia="Times New Roman" w:hAnsi="Arial" w:cs="Times New Roman"/>
      <w:b/>
      <w:sz w:val="24"/>
      <w:szCs w:val="24"/>
    </w:rPr>
  </w:style>
  <w:style w:type="paragraph" w:customStyle="1" w:styleId="MNP2">
    <w:name w:val="MNP2"/>
    <w:qFormat/>
    <w:rsid w:val="00AD16F0"/>
    <w:pPr>
      <w:numPr>
        <w:ilvl w:val="1"/>
        <w:numId w:val="15"/>
      </w:numPr>
      <w:spacing w:after="120" w:line="240" w:lineRule="auto"/>
      <w:jc w:val="center"/>
    </w:pPr>
    <w:rPr>
      <w:rFonts w:ascii="Arial" w:eastAsia="Times New Roman" w:hAnsi="Arial" w:cs="Times New Roman"/>
      <w:b/>
      <w:sz w:val="24"/>
      <w:szCs w:val="24"/>
    </w:rPr>
  </w:style>
  <w:style w:type="paragraph" w:customStyle="1" w:styleId="MNP3">
    <w:name w:val="MNP3"/>
    <w:qFormat/>
    <w:rsid w:val="00AD16F0"/>
    <w:pPr>
      <w:numPr>
        <w:ilvl w:val="2"/>
        <w:numId w:val="15"/>
      </w:numPr>
      <w:spacing w:after="120" w:line="240" w:lineRule="auto"/>
      <w:jc w:val="both"/>
    </w:pPr>
    <w:rPr>
      <w:rFonts w:ascii="Arial" w:eastAsia="Times New Roman" w:hAnsi="Arial" w:cs="Times New Roman"/>
      <w:sz w:val="20"/>
      <w:szCs w:val="20"/>
    </w:rPr>
  </w:style>
  <w:style w:type="paragraph" w:customStyle="1" w:styleId="MNP4">
    <w:name w:val="MNP4"/>
    <w:qFormat/>
    <w:rsid w:val="00AD16F0"/>
    <w:pPr>
      <w:numPr>
        <w:ilvl w:val="3"/>
        <w:numId w:val="15"/>
      </w:numPr>
      <w:spacing w:after="120" w:line="240" w:lineRule="auto"/>
      <w:jc w:val="both"/>
    </w:pPr>
    <w:rPr>
      <w:rFonts w:ascii="Arial" w:eastAsia="Times New Roman" w:hAnsi="Arial" w:cs="Times New Roman"/>
      <w:sz w:val="20"/>
      <w:szCs w:val="20"/>
    </w:rPr>
  </w:style>
  <w:style w:type="paragraph" w:styleId="ListNumber">
    <w:name w:val="List Number"/>
    <w:basedOn w:val="Normal"/>
    <w:uiPriority w:val="99"/>
    <w:unhideWhenUsed/>
    <w:rsid w:val="00F050AF"/>
    <w:pPr>
      <w:numPr>
        <w:numId w:val="20"/>
      </w:numPr>
      <w:contextualSpacing/>
    </w:pPr>
  </w:style>
  <w:style w:type="paragraph" w:customStyle="1" w:styleId="AppelnotedebasdepageCharCharCharCharCharCharChar">
    <w:name w:val="Appel note de bas de page Char Char Char Char Char Char Char"/>
    <w:basedOn w:val="Normal"/>
    <w:rsid w:val="009F5A43"/>
    <w:pPr>
      <w:spacing w:after="0" w:line="240" w:lineRule="auto"/>
      <w:jc w:val="left"/>
    </w:pPr>
    <w:rPr>
      <w:rFonts w:asciiTheme="minorHAnsi" w:hAnsiTheme="minorHAnsi"/>
      <w:sz w:val="22"/>
      <w:vertAlign w:val="superscript"/>
    </w:rPr>
  </w:style>
  <w:style w:type="paragraph" w:customStyle="1" w:styleId="Text2">
    <w:name w:val="Text 2"/>
    <w:basedOn w:val="Normal"/>
    <w:uiPriority w:val="99"/>
    <w:rsid w:val="009F5A43"/>
    <w:pPr>
      <w:spacing w:after="240" w:line="240" w:lineRule="auto"/>
      <w:ind w:left="1077"/>
    </w:pPr>
    <w:rPr>
      <w:rFonts w:cs="Times New Roman"/>
      <w:szCs w:val="24"/>
      <w:lang w:eastAsia="en-GB"/>
    </w:rPr>
  </w:style>
  <w:style w:type="character" w:styleId="HTMLCite">
    <w:name w:val="HTML Cite"/>
    <w:basedOn w:val="DefaultParagraphFont"/>
    <w:uiPriority w:val="99"/>
    <w:semiHidden/>
    <w:unhideWhenUsed/>
    <w:rsid w:val="009F5A43"/>
    <w:rPr>
      <w:i/>
      <w:iCs/>
    </w:rPr>
  </w:style>
  <w:style w:type="character" w:customStyle="1" w:styleId="st">
    <w:name w:val="st"/>
    <w:basedOn w:val="DefaultParagraphFont"/>
    <w:rsid w:val="009F5A43"/>
  </w:style>
  <w:style w:type="character" w:customStyle="1" w:styleId="ilfuvd">
    <w:name w:val="ilfuvd"/>
    <w:basedOn w:val="DefaultParagraphFont"/>
    <w:rsid w:val="009F5A43"/>
  </w:style>
  <w:style w:type="paragraph" w:customStyle="1" w:styleId="Bulet">
    <w:name w:val="Bulet"/>
    <w:basedOn w:val="Normal"/>
    <w:link w:val="BuletChar"/>
    <w:qFormat/>
    <w:rsid w:val="00A7627C"/>
    <w:pPr>
      <w:numPr>
        <w:numId w:val="40"/>
      </w:numPr>
      <w:tabs>
        <w:tab w:val="left" w:pos="2302"/>
      </w:tabs>
      <w:spacing w:after="60" w:line="240" w:lineRule="auto"/>
    </w:pPr>
    <w:rPr>
      <w:rFonts w:eastAsia="Times New Roman" w:cs="Times New Roman"/>
      <w:szCs w:val="20"/>
    </w:rPr>
  </w:style>
  <w:style w:type="character" w:customStyle="1" w:styleId="BuletChar">
    <w:name w:val="Bulet Char"/>
    <w:basedOn w:val="DefaultParagraphFont"/>
    <w:link w:val="Bulet"/>
    <w:rsid w:val="00A7627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893">
      <w:bodyDiv w:val="1"/>
      <w:marLeft w:val="0"/>
      <w:marRight w:val="0"/>
      <w:marTop w:val="0"/>
      <w:marBottom w:val="0"/>
      <w:divBdr>
        <w:top w:val="none" w:sz="0" w:space="0" w:color="auto"/>
        <w:left w:val="none" w:sz="0" w:space="0" w:color="auto"/>
        <w:bottom w:val="none" w:sz="0" w:space="0" w:color="auto"/>
        <w:right w:val="none" w:sz="0" w:space="0" w:color="auto"/>
      </w:divBdr>
    </w:div>
    <w:div w:id="1355494104">
      <w:bodyDiv w:val="1"/>
      <w:marLeft w:val="0"/>
      <w:marRight w:val="0"/>
      <w:marTop w:val="0"/>
      <w:marBottom w:val="0"/>
      <w:divBdr>
        <w:top w:val="none" w:sz="0" w:space="0" w:color="auto"/>
        <w:left w:val="none" w:sz="0" w:space="0" w:color="auto"/>
        <w:bottom w:val="none" w:sz="0" w:space="0" w:color="auto"/>
        <w:right w:val="none" w:sz="0" w:space="0" w:color="auto"/>
      </w:divBdr>
    </w:div>
    <w:div w:id="19911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3CD0.58AA2F3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52016DC0381&amp;from=EN" TargetMode="External"/><Relationship Id="rId13" Type="http://schemas.openxmlformats.org/officeDocument/2006/relationships/hyperlink" Target="https://ec.europa.eu/education/sites/education/files/document-library-docs/volume-1-2018-education-and-training-monitor-country-analysis.pdf" TargetMode="External"/><Relationship Id="rId18" Type="http://schemas.openxmlformats.org/officeDocument/2006/relationships/hyperlink" Target="https://unesdoc.unesco.org/ark:/48223/pf0000247327" TargetMode="External"/><Relationship Id="rId3" Type="http://schemas.openxmlformats.org/officeDocument/2006/relationships/hyperlink" Target="https://ec.europa.eu/education/sites/education/files/document-library-docs/volume-1-2018-education-and-training-monitor-country-analysis.pdf" TargetMode="External"/><Relationship Id="rId7" Type="http://schemas.openxmlformats.org/officeDocument/2006/relationships/hyperlink" Target="http://www.cedefop.europa.eu/en/events-and-projects/events/MaxSkillsJobs2015" TargetMode="External"/><Relationship Id="rId12" Type="http://schemas.openxmlformats.org/officeDocument/2006/relationships/hyperlink" Target="https://ec.europa.eu/eurostat/web/labour-market/labour-costs" TargetMode="External"/><Relationship Id="rId17" Type="http://schemas.openxmlformats.org/officeDocument/2006/relationships/hyperlink" Target="https://doi.org/10.1787/5e122a91-en" TargetMode="External"/><Relationship Id="rId2" Type="http://schemas.openxmlformats.org/officeDocument/2006/relationships/hyperlink" Target="https://ec.europa.eu/epale/sites/epale/files/all_in-depth_analysis_of_adult_learning_policies_and_their_effectiveness_in_europe_12.11.2015_pdf.pdf" TargetMode="External"/><Relationship Id="rId16" Type="http://schemas.openxmlformats.org/officeDocument/2006/relationships/hyperlink" Target="https://doi.org/10.1787/empl_outlook-2016-en" TargetMode="External"/><Relationship Id="rId1" Type="http://schemas.openxmlformats.org/officeDocument/2006/relationships/hyperlink" Target="http://www.eib.org/about/economic-research/eib-investment-report.htm" TargetMode="External"/><Relationship Id="rId6" Type="http://schemas.openxmlformats.org/officeDocument/2006/relationships/hyperlink" Target="https://www.eib.org/en/about/economic-research/surveys-data/about-eibis.htm" TargetMode="External"/><Relationship Id="rId11" Type="http://schemas.openxmlformats.org/officeDocument/2006/relationships/hyperlink" Target="https://ec.europa.eu/eurostat/statistics-explained/index.php/Continuing_Vocational_Training_Survey_(CVTS)_methodology" TargetMode="External"/><Relationship Id="rId5" Type="http://schemas.openxmlformats.org/officeDocument/2006/relationships/hyperlink" Target="https://www.ecb.europa.eu/stats/ecb_surveys/safe/html/ecb.safe201905~082335a4d1.en.html" TargetMode="External"/><Relationship Id="rId15" Type="http://schemas.openxmlformats.org/officeDocument/2006/relationships/hyperlink" Target="https://doi.org/10.1787/995fff01-en" TargetMode="External"/><Relationship Id="rId10" Type="http://schemas.openxmlformats.org/officeDocument/2006/relationships/hyperlink" Target="http://ec.europa.eu/social/main.jsp?catId=1198&amp;langId=en" TargetMode="External"/><Relationship Id="rId19" Type="http://schemas.openxmlformats.org/officeDocument/2006/relationships/hyperlink" Target="https://eiah.eib.org/publications/attachments/report-health-sector-study-20180322-en.pdf" TargetMode="External"/><Relationship Id="rId4" Type="http://schemas.openxmlformats.org/officeDocument/2006/relationships/hyperlink" Target="https://www.eif.org/news_centre/publications/eif_wp_37_esbfo_dec16_final.pdf" TargetMode="External"/><Relationship Id="rId9" Type="http://schemas.openxmlformats.org/officeDocument/2006/relationships/hyperlink" Target="https://medium.com/@brighteyefund/edtech-funding-in-europe-2014-2018-report-ee6170b6512c%20%20" TargetMode="External"/><Relationship Id="rId14" Type="http://schemas.openxmlformats.org/officeDocument/2006/relationships/hyperlink" Target="https://doi.org/10.1787/55bb556d-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eilux.eib.org\G_Disk\EIF\EIF-MMPDI\PD\PD%20Products\EFSI%202.0%20for%20Education%20&amp;%20Skills\Policy%20justification\Copy%20of%20EuroArea_Findingskilledlabour_vs_Accesstofinance%20(0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 (2)'!$B$1</c:f>
              <c:strCache>
                <c:ptCount val="1"/>
                <c:pt idx="0">
                  <c:v>Percentage of SMEs that indicate finding skilled labour is a pressing problem</c:v>
                </c:pt>
              </c:strCache>
            </c:strRef>
          </c:tx>
          <c:spPr>
            <a:ln w="28575" cap="rnd">
              <a:solidFill>
                <a:schemeClr val="accent1"/>
              </a:solidFill>
              <a:round/>
            </a:ln>
            <a:effectLst/>
          </c:spPr>
          <c:marker>
            <c:symbol val="none"/>
          </c:marker>
          <c:cat>
            <c:strRef>
              <c:f>'Sheet1 (2)'!$A$2:$A$15</c:f>
              <c:strCache>
                <c:ptCount val="14"/>
                <c:pt idx="0">
                  <c:v>HY1/2012</c:v>
                </c:pt>
                <c:pt idx="1">
                  <c:v>HY2/2012</c:v>
                </c:pt>
                <c:pt idx="2">
                  <c:v>HY1/2013</c:v>
                </c:pt>
                <c:pt idx="3">
                  <c:v>HY2/2013</c:v>
                </c:pt>
                <c:pt idx="4">
                  <c:v>HY1/2014</c:v>
                </c:pt>
                <c:pt idx="5">
                  <c:v>HY2/2014</c:v>
                </c:pt>
                <c:pt idx="6">
                  <c:v>HY1/2015</c:v>
                </c:pt>
                <c:pt idx="7">
                  <c:v>HY2/2015</c:v>
                </c:pt>
                <c:pt idx="8">
                  <c:v>HY1/2016</c:v>
                </c:pt>
                <c:pt idx="9">
                  <c:v>HY2/2016</c:v>
                </c:pt>
                <c:pt idx="10">
                  <c:v>HY1/2017</c:v>
                </c:pt>
                <c:pt idx="11">
                  <c:v>HY2/2017</c:v>
                </c:pt>
                <c:pt idx="12">
                  <c:v>HY1/2018</c:v>
                </c:pt>
                <c:pt idx="13">
                  <c:v>HY2/2018</c:v>
                </c:pt>
              </c:strCache>
            </c:strRef>
          </c:cat>
          <c:val>
            <c:numRef>
              <c:f>'Sheet1 (2)'!$B$2:$B$15</c:f>
              <c:numCache>
                <c:formatCode>General</c:formatCode>
                <c:ptCount val="14"/>
                <c:pt idx="0">
                  <c:v>0.42433690000000002</c:v>
                </c:pt>
                <c:pt idx="1">
                  <c:v>0.40861097000000002</c:v>
                </c:pt>
                <c:pt idx="2">
                  <c:v>0.43485922999999999</c:v>
                </c:pt>
                <c:pt idx="3">
                  <c:v>0.42459775999999999</c:v>
                </c:pt>
                <c:pt idx="4">
                  <c:v>0.46101072999999998</c:v>
                </c:pt>
                <c:pt idx="5">
                  <c:v>0.48726007999999998</c:v>
                </c:pt>
                <c:pt idx="6">
                  <c:v>0.49575538000000002</c:v>
                </c:pt>
                <c:pt idx="7">
                  <c:v>0.52238437000000004</c:v>
                </c:pt>
                <c:pt idx="8">
                  <c:v>0.54345478999999997</c:v>
                </c:pt>
                <c:pt idx="9">
                  <c:v>0.54394070999999999</c:v>
                </c:pt>
                <c:pt idx="10">
                  <c:v>0.58649832999999996</c:v>
                </c:pt>
                <c:pt idx="11">
                  <c:v>0.60070752999999999</c:v>
                </c:pt>
                <c:pt idx="12">
                  <c:v>0.61144220000000005</c:v>
                </c:pt>
                <c:pt idx="13">
                  <c:v>0.59812891000000001</c:v>
                </c:pt>
              </c:numCache>
            </c:numRef>
          </c:val>
          <c:smooth val="0"/>
          <c:extLst>
            <c:ext xmlns:c16="http://schemas.microsoft.com/office/drawing/2014/chart" uri="{C3380CC4-5D6E-409C-BE32-E72D297353CC}">
              <c16:uniqueId val="{00000000-2B57-4100-96B0-8BF505A2EFDA}"/>
            </c:ext>
          </c:extLst>
        </c:ser>
        <c:dLbls>
          <c:showLegendKey val="0"/>
          <c:showVal val="0"/>
          <c:showCatName val="0"/>
          <c:showSerName val="0"/>
          <c:showPercent val="0"/>
          <c:showBubbleSize val="0"/>
        </c:dLbls>
        <c:smooth val="0"/>
        <c:axId val="587694704"/>
        <c:axId val="587698312"/>
        <c:extLst>
          <c:ext xmlns:c15="http://schemas.microsoft.com/office/drawing/2012/chart" uri="{02D57815-91ED-43cb-92C2-25804820EDAC}">
            <c15:filteredLineSeries>
              <c15:ser>
                <c:idx val="1"/>
                <c:order val="1"/>
                <c:tx>
                  <c:strRef>
                    <c:extLst>
                      <c:ext uri="{02D57815-91ED-43cb-92C2-25804820EDAC}">
                        <c15:formulaRef>
                          <c15:sqref>'Sheet1 (2)'!$C$1</c15:sqref>
                        </c15:formulaRef>
                      </c:ext>
                    </c:extLst>
                    <c:strCache>
                      <c:ptCount val="1"/>
                      <c:pt idx="0">
                        <c:v>Percentage of SMEs that indicate access to finance is a pressing problem</c:v>
                      </c:pt>
                    </c:strCache>
                  </c:strRef>
                </c:tx>
                <c:spPr>
                  <a:ln w="28575" cap="rnd">
                    <a:solidFill>
                      <a:schemeClr val="accent2"/>
                    </a:solidFill>
                    <a:round/>
                  </a:ln>
                  <a:effectLst/>
                </c:spPr>
                <c:marker>
                  <c:symbol val="none"/>
                </c:marker>
                <c:cat>
                  <c:strRef>
                    <c:extLst>
                      <c:ext uri="{02D57815-91ED-43cb-92C2-25804820EDAC}">
                        <c15:formulaRef>
                          <c15:sqref>'Sheet1 (2)'!$A$2:$A$15</c15:sqref>
                        </c15:formulaRef>
                      </c:ext>
                    </c:extLst>
                    <c:strCache>
                      <c:ptCount val="14"/>
                      <c:pt idx="0">
                        <c:v>HY1/2012</c:v>
                      </c:pt>
                      <c:pt idx="1">
                        <c:v>HY2/2012</c:v>
                      </c:pt>
                      <c:pt idx="2">
                        <c:v>HY1/2013</c:v>
                      </c:pt>
                      <c:pt idx="3">
                        <c:v>HY2/2013</c:v>
                      </c:pt>
                      <c:pt idx="4">
                        <c:v>HY1/2014</c:v>
                      </c:pt>
                      <c:pt idx="5">
                        <c:v>HY2/2014</c:v>
                      </c:pt>
                      <c:pt idx="6">
                        <c:v>HY1/2015</c:v>
                      </c:pt>
                      <c:pt idx="7">
                        <c:v>HY2/2015</c:v>
                      </c:pt>
                      <c:pt idx="8">
                        <c:v>HY1/2016</c:v>
                      </c:pt>
                      <c:pt idx="9">
                        <c:v>HY2/2016</c:v>
                      </c:pt>
                      <c:pt idx="10">
                        <c:v>HY1/2017</c:v>
                      </c:pt>
                      <c:pt idx="11">
                        <c:v>HY2/2017</c:v>
                      </c:pt>
                      <c:pt idx="12">
                        <c:v>HY1/2018</c:v>
                      </c:pt>
                      <c:pt idx="13">
                        <c:v>HY2/2018</c:v>
                      </c:pt>
                    </c:strCache>
                  </c:strRef>
                </c:cat>
                <c:val>
                  <c:numRef>
                    <c:extLst>
                      <c:ext uri="{02D57815-91ED-43cb-92C2-25804820EDAC}">
                        <c15:formulaRef>
                          <c15:sqref>'Sheet1 (2)'!$C$2:$C$15</c15:sqref>
                        </c15:formulaRef>
                      </c:ext>
                    </c:extLst>
                    <c:numCache>
                      <c:formatCode>General</c:formatCode>
                      <c:ptCount val="14"/>
                      <c:pt idx="0">
                        <c:v>0.42082394000000001</c:v>
                      </c:pt>
                      <c:pt idx="1">
                        <c:v>0.42023642999999999</c:v>
                      </c:pt>
                      <c:pt idx="2">
                        <c:v>0.41712019</c:v>
                      </c:pt>
                      <c:pt idx="3">
                        <c:v>0.39202081999999999</c:v>
                      </c:pt>
                      <c:pt idx="4">
                        <c:v>0.34346725</c:v>
                      </c:pt>
                      <c:pt idx="5">
                        <c:v>0.34342169</c:v>
                      </c:pt>
                      <c:pt idx="6">
                        <c:v>0.32257113999999998</c:v>
                      </c:pt>
                      <c:pt idx="7">
                        <c:v>0.32125056000000002</c:v>
                      </c:pt>
                      <c:pt idx="8">
                        <c:v>0.30807870999999998</c:v>
                      </c:pt>
                      <c:pt idx="9">
                        <c:v>0.30410959999999998</c:v>
                      </c:pt>
                      <c:pt idx="10">
                        <c:v>0.27301310000000001</c:v>
                      </c:pt>
                      <c:pt idx="11">
                        <c:v>0.29420640999999997</c:v>
                      </c:pt>
                      <c:pt idx="12">
                        <c:v>0.26546402000000002</c:v>
                      </c:pt>
                      <c:pt idx="13">
                        <c:v>0.26562342999999999</c:v>
                      </c:pt>
                    </c:numCache>
                  </c:numRef>
                </c:val>
                <c:smooth val="0"/>
                <c:extLst>
                  <c:ext xmlns:c16="http://schemas.microsoft.com/office/drawing/2014/chart" uri="{C3380CC4-5D6E-409C-BE32-E72D297353CC}">
                    <c16:uniqueId val="{00000001-2B57-4100-96B0-8BF505A2EFDA}"/>
                  </c:ext>
                </c:extLst>
              </c15:ser>
            </c15:filteredLineSeries>
          </c:ext>
        </c:extLst>
      </c:lineChart>
      <c:catAx>
        <c:axId val="58769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698312"/>
        <c:crosses val="autoZero"/>
        <c:auto val="1"/>
        <c:lblAlgn val="ctr"/>
        <c:lblOffset val="100"/>
        <c:noMultiLvlLbl val="0"/>
      </c:catAx>
      <c:valAx>
        <c:axId val="587698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694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4F5546E6268474DADBF6F96B2F8F985" ma:contentTypeVersion="0" ma:contentTypeDescription="Create a new document in this library." ma:contentTypeScope="" ma:versionID="4580a367e9a4c470751f609fc4e122bb">
  <xsd:schema xmlns:xsd="http://www.w3.org/2001/XMLSchema" xmlns:xs="http://www.w3.org/2001/XMLSchema" xmlns:p="http://schemas.microsoft.com/office/2006/metadata/properties" xmlns:ns2="http://schemas.microsoft.com/sharepoint/v3/fields" xmlns:ns3="2170f1bb-b4a4-405f-baef-d2accc8145af" targetNamespace="http://schemas.microsoft.com/office/2006/metadata/properties" ma:root="true" ma:fieldsID="44b4e04e4fa5a70bc054bc63179d5430" ns2:_="" ns3:_="">
    <xsd:import namespace="http://schemas.microsoft.com/sharepoint/v3/fields"/>
    <xsd:import namespace="2170f1bb-b4a4-405f-baef-d2accc8145a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170f1bb-b4a4-405f-baef-d2accc8145a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2170f1bb-b4a4-405f-baef-d2accc8145af">EN</EC_Collab_DocumentLanguage>
    <EC_Collab_Status xmlns="2170f1bb-b4a4-405f-baef-d2accc8145af">Reviewed</EC_Collab_Status>
    <EC_Collab_Reference xmlns="2170f1bb-b4a4-405f-baef-d2accc8145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0DAFB5-15A2-41F6-94A4-78E5F83B7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170f1bb-b4a4-405f-baef-d2accc814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86967-5503-496D-9E00-F18A1CF749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170f1bb-b4a4-405f-baef-d2accc8145af"/>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76885EC-C4EB-4495-813F-FA820314D08C}">
  <ds:schemaRefs>
    <ds:schemaRef ds:uri="http://schemas.microsoft.com/sharepoint/v3/contenttype/forms"/>
  </ds:schemaRefs>
</ds:datastoreItem>
</file>

<file path=customXml/itemProps4.xml><?xml version="1.0" encoding="utf-8"?>
<ds:datastoreItem xmlns:ds="http://schemas.openxmlformats.org/officeDocument/2006/customXml" ds:itemID="{756EE673-C9C9-4A7E-B111-D48A0BF1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7711</Words>
  <Characters>44499</Characters>
  <Application>Microsoft Office Word</Application>
  <DocSecurity>0</DocSecurity>
  <Lines>706</Lines>
  <Paragraphs>235</Paragraphs>
  <ScaleCrop>false</ScaleCrop>
  <HeadingPairs>
    <vt:vector size="2" baseType="variant">
      <vt:variant>
        <vt:lpstr>Title</vt:lpstr>
      </vt:variant>
      <vt:variant>
        <vt:i4>1</vt:i4>
      </vt:variant>
    </vt:vector>
  </HeadingPairs>
  <TitlesOfParts>
    <vt:vector size="1" baseType="lpstr">
      <vt:lpstr>Policy note_for comments by 14102019</vt:lpstr>
    </vt:vector>
  </TitlesOfParts>
  <Company>European Commission</Company>
  <LinksUpToDate>false</LinksUpToDate>
  <CharactersWithSpaces>51975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note_for comments by 14102019</dc:title>
  <dc:subject/>
  <dc:creator>ELIOFOTOU Polyvios (EMPL)</dc:creator>
  <cp:keywords/>
  <dc:description/>
  <cp:lastModifiedBy>MUNISTERI Filippo (ECFIN)</cp:lastModifiedBy>
  <cp:revision>3</cp:revision>
  <cp:lastPrinted>2019-11-18T14:51:00Z</cp:lastPrinted>
  <dcterms:created xsi:type="dcterms:W3CDTF">2019-11-18T16:57:00Z</dcterms:created>
  <dcterms:modified xsi:type="dcterms:W3CDTF">2019-11-18T16:58:00Z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0x010100258AA79CEB83498886A3A086811232500004F5546E6268474DADBF6F96B2F8F985</vt:lpwstr>
  </property>
</Properties>
</file>