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459" w:tblpY="2011"/>
        <w:tblW w:w="10314" w:type="dxa"/>
        <w:tblLook w:val="04A0" w:firstRow="1" w:lastRow="0" w:firstColumn="1" w:lastColumn="0" w:noHBand="0" w:noVBand="1"/>
      </w:tblPr>
      <w:tblGrid>
        <w:gridCol w:w="819"/>
        <w:gridCol w:w="2287"/>
        <w:gridCol w:w="7208"/>
      </w:tblGrid>
      <w:tr w:rsidR="003914DB" w:rsidRPr="00360490" w14:paraId="6FA7505A" w14:textId="77777777" w:rsidTr="0096145F">
        <w:tc>
          <w:tcPr>
            <w:tcW w:w="10314" w:type="dxa"/>
            <w:gridSpan w:val="3"/>
            <w:tcBorders>
              <w:top w:val="nil"/>
              <w:left w:val="nil"/>
              <w:right w:val="nil"/>
            </w:tcBorders>
          </w:tcPr>
          <w:p w14:paraId="4FF47E67" w14:textId="20DB2FC8" w:rsidR="003914DB" w:rsidRPr="00360490" w:rsidRDefault="003914DB" w:rsidP="00FC2615">
            <w:pPr>
              <w:jc w:val="both"/>
              <w:rPr>
                <w:rFonts w:ascii="Arial" w:hAnsi="Arial"/>
                <w:i/>
                <w:sz w:val="20"/>
                <w:szCs w:val="20"/>
              </w:rPr>
            </w:pPr>
            <w:r w:rsidRPr="00360490">
              <w:rPr>
                <w:rFonts w:ascii="Arial" w:hAnsi="Arial"/>
                <w:b/>
                <w:i/>
                <w:sz w:val="20"/>
                <w:szCs w:val="20"/>
              </w:rPr>
              <w:t>Disclaimer:</w:t>
            </w:r>
            <w:r w:rsidRPr="00360490">
              <w:rPr>
                <w:rFonts w:ascii="Arial" w:hAnsi="Arial"/>
                <w:i/>
                <w:sz w:val="20"/>
                <w:szCs w:val="20"/>
              </w:rPr>
              <w:t xml:space="preserve"> </w:t>
            </w:r>
            <w:r w:rsidR="00523923" w:rsidRPr="00360490">
              <w:rPr>
                <w:rFonts w:ascii="Arial" w:hAnsi="Arial"/>
                <w:b/>
                <w:i/>
                <w:sz w:val="20"/>
                <w:szCs w:val="20"/>
              </w:rPr>
              <w:t xml:space="preserve"> </w:t>
            </w:r>
            <w:r w:rsidR="00523923">
              <w:rPr>
                <w:rFonts w:ascii="Arial" w:hAnsi="Arial" w:cs="Arial"/>
                <w:i/>
                <w:iCs/>
                <w:sz w:val="20"/>
                <w:szCs w:val="20"/>
              </w:rPr>
              <w:t>This is a draft fiche for a financial product under the EU compartment of the InvestEU Fund based on features included in the draft investment guidelines. The financial product fiche is intended to facilitate discussion with the potential Implementing Partners. It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entity to which it is addressed for discussions and may contain confidential and/or privileged material. This financial product fiche is meant to serve as an example for the financial product herein described. It shall not pre-empt</w:t>
            </w:r>
            <w:r w:rsidR="00523923">
              <w:rPr>
                <w:rFonts w:ascii="Arial" w:hAnsi="Arial" w:cs="Arial"/>
                <w:i/>
                <w:iCs/>
                <w:color w:val="1F497D"/>
                <w:sz w:val="20"/>
                <w:szCs w:val="20"/>
              </w:rPr>
              <w:t xml:space="preserve"> </w:t>
            </w:r>
            <w:r w:rsidR="00523923">
              <w:rPr>
                <w:rFonts w:ascii="Arial" w:hAnsi="Arial" w:cs="Arial"/>
                <w:i/>
                <w:iCs/>
                <w:sz w:val="20"/>
                <w:szCs w:val="20"/>
              </w:rPr>
              <w:t>policy prioritisation or any other aspects related to InvestEU Financial Products. An implementing partner can focus on one or more policy areas targeted by this financial product</w:t>
            </w:r>
            <w:r w:rsidR="00523923" w:rsidRPr="00734058">
              <w:rPr>
                <w:rFonts w:ascii="Arial" w:hAnsi="Arial" w:cs="Arial"/>
                <w:i/>
                <w:iCs/>
                <w:sz w:val="20"/>
                <w:szCs w:val="20"/>
              </w:rPr>
              <w:t xml:space="preserve">. </w:t>
            </w:r>
            <w:r w:rsidR="00523923" w:rsidRPr="00734058">
              <w:rPr>
                <w:i/>
              </w:rPr>
              <w:t>T</w:t>
            </w:r>
            <w:r w:rsidR="00523923">
              <w:rPr>
                <w:rFonts w:ascii="Arial" w:hAnsi="Arial" w:cs="Arial"/>
                <w:i/>
                <w:iCs/>
                <w:sz w:val="20"/>
                <w:szCs w:val="20"/>
              </w:rPr>
              <w:t>he financial product fiches should be read in combination with the policy cover notes per policy window.</w:t>
            </w:r>
            <w:r w:rsidRPr="00360490">
              <w:rPr>
                <w:rFonts w:ascii="Arial" w:hAnsi="Arial"/>
                <w:i/>
                <w:sz w:val="20"/>
                <w:szCs w:val="20"/>
              </w:rPr>
              <w:t xml:space="preserve"> </w:t>
            </w:r>
          </w:p>
          <w:p w14:paraId="6FA75059" w14:textId="4ACB4A1E" w:rsidR="003914DB" w:rsidRPr="00360490" w:rsidRDefault="003914DB" w:rsidP="00FC2615">
            <w:pPr>
              <w:jc w:val="both"/>
              <w:rPr>
                <w:rFonts w:ascii="Arial" w:hAnsi="Arial"/>
                <w:i/>
                <w:sz w:val="20"/>
                <w:szCs w:val="20"/>
              </w:rPr>
            </w:pPr>
          </w:p>
        </w:tc>
      </w:tr>
      <w:tr w:rsidR="00E10628" w:rsidRPr="00360490" w14:paraId="6FA7505E" w14:textId="77777777" w:rsidTr="0096145F">
        <w:tc>
          <w:tcPr>
            <w:tcW w:w="819" w:type="dxa"/>
          </w:tcPr>
          <w:p w14:paraId="6FA7505B" w14:textId="5924A30F" w:rsidR="00E10628" w:rsidRPr="00360490" w:rsidRDefault="00525EF4" w:rsidP="00543940">
            <w:pPr>
              <w:rPr>
                <w:rFonts w:ascii="Arial" w:hAnsi="Arial"/>
                <w:b/>
                <w:sz w:val="20"/>
                <w:szCs w:val="20"/>
              </w:rPr>
            </w:pPr>
            <w:r w:rsidRPr="00360490">
              <w:rPr>
                <w:rFonts w:ascii="Arial" w:hAnsi="Arial"/>
                <w:b/>
                <w:sz w:val="20"/>
                <w:szCs w:val="20"/>
              </w:rPr>
              <w:t>1.</w:t>
            </w:r>
          </w:p>
        </w:tc>
        <w:tc>
          <w:tcPr>
            <w:tcW w:w="2287" w:type="dxa"/>
          </w:tcPr>
          <w:p w14:paraId="6FA7505C" w14:textId="5E7E1B54" w:rsidR="00E10628" w:rsidRPr="00360490" w:rsidRDefault="00E10628" w:rsidP="00543940">
            <w:pPr>
              <w:rPr>
                <w:rFonts w:ascii="Arial" w:hAnsi="Arial"/>
                <w:b/>
                <w:sz w:val="20"/>
                <w:szCs w:val="20"/>
              </w:rPr>
            </w:pPr>
            <w:r w:rsidRPr="00360490">
              <w:rPr>
                <w:rFonts w:ascii="Arial" w:hAnsi="Arial"/>
                <w:b/>
                <w:sz w:val="20"/>
                <w:szCs w:val="20"/>
              </w:rPr>
              <w:t>Policy Window</w:t>
            </w:r>
            <w:r w:rsidR="00133B9F" w:rsidRPr="00360490">
              <w:rPr>
                <w:rFonts w:ascii="Arial" w:hAnsi="Arial"/>
                <w:b/>
                <w:sz w:val="20"/>
                <w:szCs w:val="20"/>
              </w:rPr>
              <w:t>(s)</w:t>
            </w:r>
          </w:p>
        </w:tc>
        <w:tc>
          <w:tcPr>
            <w:tcW w:w="7208" w:type="dxa"/>
          </w:tcPr>
          <w:p w14:paraId="61CE46EF" w14:textId="493C5ABB" w:rsidR="00A01CB8" w:rsidRPr="00360490" w:rsidRDefault="009122DD" w:rsidP="00A01CB8">
            <w:pPr>
              <w:autoSpaceDE w:val="0"/>
              <w:autoSpaceDN w:val="0"/>
              <w:adjustRightInd w:val="0"/>
              <w:jc w:val="both"/>
              <w:rPr>
                <w:rFonts w:ascii="Arial" w:hAnsi="Arial" w:cs="Arial"/>
                <w:sz w:val="20"/>
                <w:szCs w:val="20"/>
              </w:rPr>
            </w:pPr>
            <w:sdt>
              <w:sdtPr>
                <w:rPr>
                  <w:rFonts w:ascii="Arial" w:hAnsi="Arial" w:cs="Arial"/>
                  <w:sz w:val="20"/>
                  <w:szCs w:val="20"/>
                </w:rPr>
                <w:id w:val="2026745114"/>
                <w14:checkbox>
                  <w14:checked w14:val="0"/>
                  <w14:checkedState w14:val="2612" w14:font="MS Gothic"/>
                  <w14:uncheckedState w14:val="2610" w14:font="MS Gothic"/>
                </w14:checkbox>
              </w:sdtPr>
              <w:sdtEndPr/>
              <w:sdtContent>
                <w:r w:rsidR="00A01CB8" w:rsidRPr="00360490">
                  <w:rPr>
                    <w:rFonts w:ascii="MS Gothic" w:eastAsia="MS Gothic" w:hAnsi="MS Gothic" w:cs="Arial" w:hint="eastAsia"/>
                    <w:sz w:val="20"/>
                    <w:szCs w:val="20"/>
                  </w:rPr>
                  <w:t>☐</w:t>
                </w:r>
              </w:sdtContent>
            </w:sdt>
            <w:r w:rsidR="00A01CB8" w:rsidRPr="00360490">
              <w:rPr>
                <w:rFonts w:ascii="Arial" w:hAnsi="Arial" w:cs="Arial"/>
                <w:sz w:val="20"/>
                <w:szCs w:val="20"/>
              </w:rPr>
              <w:t xml:space="preserve"> Sustainable Infrastructure window </w:t>
            </w:r>
          </w:p>
          <w:p w14:paraId="41842028" w14:textId="0D634F1C" w:rsidR="00A01CB8" w:rsidRPr="00360490" w:rsidRDefault="009122DD" w:rsidP="00A01CB8">
            <w:pPr>
              <w:autoSpaceDE w:val="0"/>
              <w:autoSpaceDN w:val="0"/>
              <w:adjustRightInd w:val="0"/>
              <w:jc w:val="both"/>
              <w:rPr>
                <w:rFonts w:ascii="Arial" w:hAnsi="Arial" w:cs="Arial"/>
                <w:sz w:val="20"/>
                <w:szCs w:val="20"/>
              </w:rPr>
            </w:pPr>
            <w:sdt>
              <w:sdtPr>
                <w:rPr>
                  <w:rFonts w:ascii="Arial" w:hAnsi="Arial" w:cs="Arial"/>
                  <w:sz w:val="20"/>
                  <w:szCs w:val="20"/>
                </w:rPr>
                <w:id w:val="430700354"/>
                <w14:checkbox>
                  <w14:checked w14:val="1"/>
                  <w14:checkedState w14:val="2612" w14:font="MS Gothic"/>
                  <w14:uncheckedState w14:val="2610" w14:font="MS Gothic"/>
                </w14:checkbox>
              </w:sdtPr>
              <w:sdtEndPr/>
              <w:sdtContent>
                <w:r w:rsidR="00552458">
                  <w:rPr>
                    <w:rFonts w:ascii="MS Gothic" w:eastAsia="MS Gothic" w:hAnsi="MS Gothic" w:cs="Arial" w:hint="eastAsia"/>
                    <w:sz w:val="20"/>
                    <w:szCs w:val="20"/>
                  </w:rPr>
                  <w:t>☒</w:t>
                </w:r>
              </w:sdtContent>
            </w:sdt>
            <w:r w:rsidR="00A01CB8" w:rsidRPr="00360490" w:rsidDel="004D136D">
              <w:rPr>
                <w:rFonts w:ascii="Arial" w:hAnsi="Arial" w:cs="Arial"/>
                <w:sz w:val="20"/>
                <w:szCs w:val="20"/>
              </w:rPr>
              <w:t xml:space="preserve"> </w:t>
            </w:r>
            <w:r w:rsidR="00A01CB8" w:rsidRPr="00360490">
              <w:rPr>
                <w:rFonts w:ascii="Arial" w:hAnsi="Arial" w:cs="Arial"/>
                <w:sz w:val="20"/>
                <w:szCs w:val="20"/>
              </w:rPr>
              <w:t>Research, Innovation and Digitisation window</w:t>
            </w:r>
          </w:p>
          <w:p w14:paraId="021731EB" w14:textId="59A793D0" w:rsidR="00A01CB8" w:rsidRPr="00360490" w:rsidRDefault="009122DD" w:rsidP="00A01CB8">
            <w:pPr>
              <w:jc w:val="both"/>
              <w:rPr>
                <w:rFonts w:ascii="Arial" w:hAnsi="Arial"/>
                <w:sz w:val="20"/>
                <w:szCs w:val="20"/>
              </w:rPr>
            </w:pPr>
            <w:sdt>
              <w:sdtPr>
                <w:rPr>
                  <w:rFonts w:ascii="Arial" w:hAnsi="Arial" w:cs="Arial"/>
                  <w:sz w:val="20"/>
                  <w:szCs w:val="20"/>
                </w:rPr>
                <w:id w:val="-43918100"/>
                <w14:checkbox>
                  <w14:checked w14:val="0"/>
                  <w14:checkedState w14:val="2612" w14:font="MS Gothic"/>
                  <w14:uncheckedState w14:val="2610" w14:font="MS Gothic"/>
                </w14:checkbox>
              </w:sdtPr>
              <w:sdtEndPr/>
              <w:sdtContent>
                <w:r w:rsidR="00A01CB8" w:rsidRPr="00360490">
                  <w:rPr>
                    <w:rFonts w:ascii="MS Gothic" w:eastAsia="MS Gothic" w:hAnsi="MS Gothic" w:cs="Arial" w:hint="eastAsia"/>
                    <w:sz w:val="20"/>
                    <w:szCs w:val="20"/>
                  </w:rPr>
                  <w:t>☐</w:t>
                </w:r>
              </w:sdtContent>
            </w:sdt>
            <w:r w:rsidR="00A01CB8" w:rsidRPr="00360490">
              <w:rPr>
                <w:rFonts w:ascii="Arial" w:hAnsi="Arial" w:cs="Arial"/>
                <w:sz w:val="20"/>
                <w:szCs w:val="20"/>
              </w:rPr>
              <w:t xml:space="preserve"> </w:t>
            </w:r>
            <w:r w:rsidR="00A01CB8" w:rsidRPr="00360490">
              <w:rPr>
                <w:rFonts w:ascii="Arial" w:hAnsi="Arial"/>
                <w:sz w:val="20"/>
                <w:szCs w:val="20"/>
              </w:rPr>
              <w:t>SME window</w:t>
            </w:r>
          </w:p>
          <w:p w14:paraId="59D8D03A" w14:textId="77777777" w:rsidR="00A01CB8" w:rsidRPr="00360490" w:rsidRDefault="009122DD" w:rsidP="00A01CB8">
            <w:pPr>
              <w:jc w:val="both"/>
              <w:rPr>
                <w:rFonts w:ascii="Arial" w:hAnsi="Arial"/>
                <w:sz w:val="20"/>
                <w:szCs w:val="20"/>
              </w:rPr>
            </w:pPr>
            <w:sdt>
              <w:sdtPr>
                <w:rPr>
                  <w:rFonts w:ascii="Arial" w:hAnsi="Arial" w:cs="Arial"/>
                  <w:sz w:val="20"/>
                  <w:szCs w:val="20"/>
                </w:rPr>
                <w:id w:val="1681311271"/>
                <w14:checkbox>
                  <w14:checked w14:val="0"/>
                  <w14:checkedState w14:val="2612" w14:font="MS Gothic"/>
                  <w14:uncheckedState w14:val="2610" w14:font="MS Gothic"/>
                </w14:checkbox>
              </w:sdtPr>
              <w:sdtEndPr/>
              <w:sdtContent>
                <w:r w:rsidR="00A01CB8" w:rsidRPr="00360490">
                  <w:rPr>
                    <w:rFonts w:ascii="MS Gothic" w:eastAsia="MS Gothic" w:hAnsi="MS Gothic" w:cs="Arial" w:hint="eastAsia"/>
                    <w:sz w:val="20"/>
                    <w:szCs w:val="20"/>
                  </w:rPr>
                  <w:t>☐</w:t>
                </w:r>
              </w:sdtContent>
            </w:sdt>
            <w:r w:rsidR="00A01CB8" w:rsidRPr="00360490">
              <w:rPr>
                <w:rFonts w:ascii="Arial" w:hAnsi="Arial" w:cs="Arial"/>
                <w:sz w:val="20"/>
                <w:szCs w:val="20"/>
              </w:rPr>
              <w:t xml:space="preserve"> </w:t>
            </w:r>
            <w:r w:rsidR="00A01CB8" w:rsidRPr="00360490">
              <w:rPr>
                <w:rFonts w:ascii="Arial" w:hAnsi="Arial"/>
                <w:sz w:val="20"/>
                <w:szCs w:val="20"/>
              </w:rPr>
              <w:t>Social Investment and Skills window</w:t>
            </w:r>
          </w:p>
          <w:p w14:paraId="6FA7505D" w14:textId="2F6E897E" w:rsidR="00E10628" w:rsidRPr="00360490" w:rsidRDefault="00E10628" w:rsidP="00A01CB8">
            <w:pPr>
              <w:jc w:val="both"/>
              <w:rPr>
                <w:rFonts w:ascii="Arial" w:hAnsi="Arial"/>
                <w:sz w:val="20"/>
                <w:szCs w:val="20"/>
              </w:rPr>
            </w:pPr>
          </w:p>
        </w:tc>
      </w:tr>
      <w:tr w:rsidR="00FC31B8" w:rsidRPr="00360490" w14:paraId="20DBA05B" w14:textId="77777777" w:rsidTr="0096145F">
        <w:tc>
          <w:tcPr>
            <w:tcW w:w="819" w:type="dxa"/>
          </w:tcPr>
          <w:p w14:paraId="049D897A" w14:textId="04609DBB" w:rsidR="00FC31B8" w:rsidRPr="00360490" w:rsidRDefault="004F1242" w:rsidP="00543940">
            <w:pPr>
              <w:rPr>
                <w:rFonts w:ascii="Arial" w:hAnsi="Arial"/>
                <w:b/>
                <w:sz w:val="20"/>
                <w:szCs w:val="20"/>
              </w:rPr>
            </w:pPr>
            <w:r w:rsidRPr="00360490">
              <w:rPr>
                <w:rFonts w:ascii="Arial" w:hAnsi="Arial"/>
                <w:b/>
                <w:sz w:val="20"/>
                <w:szCs w:val="20"/>
              </w:rPr>
              <w:t>2.</w:t>
            </w:r>
          </w:p>
        </w:tc>
        <w:tc>
          <w:tcPr>
            <w:tcW w:w="2287" w:type="dxa"/>
          </w:tcPr>
          <w:p w14:paraId="2AAFB64F" w14:textId="07E770D2" w:rsidR="00FC31B8" w:rsidRPr="00360490" w:rsidRDefault="00FC31B8" w:rsidP="00543940">
            <w:pPr>
              <w:rPr>
                <w:rFonts w:ascii="Arial" w:hAnsi="Arial"/>
                <w:b/>
                <w:sz w:val="20"/>
                <w:szCs w:val="20"/>
              </w:rPr>
            </w:pPr>
            <w:r w:rsidRPr="00360490">
              <w:rPr>
                <w:rFonts w:ascii="Arial" w:hAnsi="Arial"/>
                <w:b/>
                <w:sz w:val="20"/>
                <w:szCs w:val="20"/>
              </w:rPr>
              <w:t>Policy Objective(s)</w:t>
            </w:r>
          </w:p>
        </w:tc>
        <w:tc>
          <w:tcPr>
            <w:tcW w:w="7208" w:type="dxa"/>
          </w:tcPr>
          <w:p w14:paraId="2480D1AF" w14:textId="0E00EE5B" w:rsidR="00FC31B8" w:rsidRDefault="00552458" w:rsidP="00552458">
            <w:pPr>
              <w:jc w:val="both"/>
              <w:rPr>
                <w:rFonts w:ascii="Arial" w:hAnsi="Arial"/>
                <w:sz w:val="20"/>
                <w:szCs w:val="20"/>
              </w:rPr>
            </w:pPr>
            <w:r>
              <w:rPr>
                <w:rFonts w:ascii="Arial" w:hAnsi="Arial"/>
                <w:sz w:val="20"/>
                <w:szCs w:val="20"/>
              </w:rPr>
              <w:t>InvestEU Investment Guidelines</w:t>
            </w:r>
            <w:r w:rsidR="00EA3F50">
              <w:rPr>
                <w:rFonts w:ascii="Arial" w:hAnsi="Arial"/>
                <w:sz w:val="20"/>
                <w:szCs w:val="20"/>
              </w:rPr>
              <w:t xml:space="preserve"> section 3.2.2.3:</w:t>
            </w:r>
          </w:p>
          <w:p w14:paraId="20E12FD1" w14:textId="77777777" w:rsidR="00EA3F50" w:rsidRDefault="00EA3F50" w:rsidP="00EA3F50">
            <w:pPr>
              <w:jc w:val="both"/>
              <w:rPr>
                <w:rFonts w:ascii="Arial" w:hAnsi="Arial"/>
                <w:sz w:val="20"/>
                <w:szCs w:val="20"/>
              </w:rPr>
            </w:pPr>
          </w:p>
          <w:p w14:paraId="6603E930" w14:textId="0C53682A" w:rsidR="006C26D4" w:rsidRPr="00301A2F" w:rsidRDefault="006C26D4" w:rsidP="006C26D4">
            <w:pPr>
              <w:jc w:val="both"/>
              <w:rPr>
                <w:rFonts w:ascii="Arial" w:hAnsi="Arial"/>
                <w:sz w:val="20"/>
                <w:szCs w:val="20"/>
              </w:rPr>
            </w:pPr>
            <w:r w:rsidRPr="00301A2F">
              <w:rPr>
                <w:rFonts w:ascii="Arial" w:hAnsi="Arial"/>
                <w:sz w:val="20"/>
                <w:szCs w:val="20"/>
              </w:rPr>
              <w:t xml:space="preserve">Financing and investment operations under this product shall facilitate and accelerate access to </w:t>
            </w:r>
            <w:r>
              <w:rPr>
                <w:rFonts w:ascii="Arial" w:hAnsi="Arial"/>
                <w:sz w:val="20"/>
                <w:szCs w:val="20"/>
              </w:rPr>
              <w:t xml:space="preserve">venture </w:t>
            </w:r>
            <w:r w:rsidRPr="00301A2F">
              <w:rPr>
                <w:rFonts w:ascii="Arial" w:hAnsi="Arial"/>
                <w:sz w:val="20"/>
                <w:szCs w:val="20"/>
              </w:rPr>
              <w:t xml:space="preserve">debt financing for innovation and digitisation projects, promoters, businesses and other innovative entities and stimulate digital transformation of businesses, markets and EU countries. It shall notably contribute to: </w:t>
            </w:r>
          </w:p>
          <w:p w14:paraId="3F15B140" w14:textId="1E5FE4F5" w:rsidR="006C26D4" w:rsidRPr="00301A2F" w:rsidRDefault="006C26D4" w:rsidP="006C26D4">
            <w:pPr>
              <w:pStyle w:val="ListParagraph"/>
              <w:numPr>
                <w:ilvl w:val="0"/>
                <w:numId w:val="9"/>
              </w:numPr>
              <w:jc w:val="both"/>
              <w:rPr>
                <w:rFonts w:ascii="Arial" w:hAnsi="Arial"/>
                <w:sz w:val="20"/>
                <w:szCs w:val="20"/>
              </w:rPr>
            </w:pPr>
            <w:r w:rsidRPr="00301A2F">
              <w:rPr>
                <w:rFonts w:ascii="Arial" w:hAnsi="Arial"/>
                <w:sz w:val="20"/>
                <w:szCs w:val="20"/>
              </w:rPr>
              <w:t xml:space="preserve">streghtening the EU’s </w:t>
            </w:r>
            <w:r>
              <w:rPr>
                <w:rFonts w:ascii="Arial" w:hAnsi="Arial"/>
                <w:sz w:val="20"/>
                <w:szCs w:val="20"/>
              </w:rPr>
              <w:t xml:space="preserve">technological sovereignty, including in strategic digital technologies; </w:t>
            </w:r>
            <w:r w:rsidRPr="00301A2F">
              <w:rPr>
                <w:rFonts w:ascii="Arial" w:hAnsi="Arial"/>
                <w:sz w:val="20"/>
                <w:szCs w:val="20"/>
              </w:rPr>
              <w:t xml:space="preserve"> </w:t>
            </w:r>
          </w:p>
          <w:p w14:paraId="3E3DC3C9" w14:textId="3AE5539F" w:rsidR="006C26D4" w:rsidRDefault="006C26D4" w:rsidP="006C26D4">
            <w:pPr>
              <w:pStyle w:val="ListParagraph"/>
              <w:numPr>
                <w:ilvl w:val="0"/>
                <w:numId w:val="9"/>
              </w:numPr>
              <w:jc w:val="both"/>
              <w:rPr>
                <w:rFonts w:ascii="Arial" w:hAnsi="Arial"/>
                <w:sz w:val="20"/>
                <w:szCs w:val="20"/>
              </w:rPr>
            </w:pPr>
            <w:r w:rsidRPr="00301A2F">
              <w:rPr>
                <w:rFonts w:ascii="Arial" w:hAnsi="Arial"/>
                <w:sz w:val="20"/>
                <w:szCs w:val="20"/>
              </w:rPr>
              <w:t>delivering on EU’s strategic priorities for innovation and digitisation</w:t>
            </w:r>
            <w:r>
              <w:rPr>
                <w:rFonts w:ascii="Arial" w:hAnsi="Arial"/>
                <w:sz w:val="20"/>
                <w:szCs w:val="20"/>
              </w:rPr>
              <w:t>;</w:t>
            </w:r>
          </w:p>
          <w:p w14:paraId="4CB6379F" w14:textId="77777777" w:rsidR="006C26D4" w:rsidRPr="00301A2F" w:rsidRDefault="006C26D4" w:rsidP="006C26D4">
            <w:pPr>
              <w:pStyle w:val="ListParagraph"/>
              <w:numPr>
                <w:ilvl w:val="0"/>
                <w:numId w:val="9"/>
              </w:numPr>
              <w:jc w:val="both"/>
              <w:rPr>
                <w:rFonts w:ascii="Arial" w:hAnsi="Arial"/>
                <w:sz w:val="20"/>
                <w:szCs w:val="20"/>
              </w:rPr>
            </w:pPr>
            <w:r w:rsidRPr="00301A2F">
              <w:rPr>
                <w:rFonts w:ascii="Arial" w:hAnsi="Arial"/>
                <w:sz w:val="20"/>
                <w:szCs w:val="20"/>
              </w:rPr>
              <w:t xml:space="preserve">upscaling of innovative companies and </w:t>
            </w:r>
          </w:p>
          <w:p w14:paraId="0580B977" w14:textId="1F91C02C" w:rsidR="006C26D4" w:rsidRPr="008F2EDB" w:rsidRDefault="006C26D4" w:rsidP="006C26D4">
            <w:pPr>
              <w:pStyle w:val="ListParagraph"/>
              <w:numPr>
                <w:ilvl w:val="0"/>
                <w:numId w:val="9"/>
              </w:numPr>
              <w:jc w:val="both"/>
              <w:rPr>
                <w:rFonts w:ascii="Arial" w:hAnsi="Arial"/>
                <w:sz w:val="20"/>
                <w:szCs w:val="20"/>
              </w:rPr>
            </w:pPr>
            <w:r w:rsidRPr="00301A2F">
              <w:rPr>
                <w:rFonts w:ascii="Arial" w:hAnsi="Arial"/>
                <w:sz w:val="20"/>
                <w:szCs w:val="20"/>
              </w:rPr>
              <w:t xml:space="preserve">rolling out </w:t>
            </w:r>
            <w:r>
              <w:rPr>
                <w:rFonts w:ascii="Arial" w:hAnsi="Arial"/>
                <w:sz w:val="20"/>
                <w:szCs w:val="20"/>
              </w:rPr>
              <w:t xml:space="preserve">and deployment of </w:t>
            </w:r>
            <w:r w:rsidRPr="00301A2F">
              <w:rPr>
                <w:rFonts w:ascii="Arial" w:hAnsi="Arial"/>
                <w:sz w:val="20"/>
                <w:szCs w:val="20"/>
              </w:rPr>
              <w:t>innovative technologie</w:t>
            </w:r>
            <w:r>
              <w:rPr>
                <w:rFonts w:ascii="Arial" w:hAnsi="Arial"/>
                <w:sz w:val="20"/>
                <w:szCs w:val="20"/>
              </w:rPr>
              <w:t>s, in particular strategic digital technologies, such a</w:t>
            </w:r>
            <w:r w:rsidRPr="00301A2F">
              <w:rPr>
                <w:rFonts w:ascii="Arial" w:hAnsi="Arial"/>
                <w:sz w:val="20"/>
                <w:szCs w:val="20"/>
              </w:rPr>
              <w:t>s</w:t>
            </w:r>
            <w:r>
              <w:rPr>
                <w:rFonts w:ascii="Arial" w:hAnsi="Arial"/>
                <w:sz w:val="20"/>
                <w:szCs w:val="20"/>
              </w:rPr>
              <w:t xml:space="preserve"> artificial intelligence, blockchain technology, HPC, cloud, cybersecurity,</w:t>
            </w:r>
            <w:r w:rsidR="00D03221">
              <w:rPr>
                <w:rFonts w:ascii="Arial" w:hAnsi="Arial"/>
                <w:sz w:val="20"/>
                <w:szCs w:val="20"/>
              </w:rPr>
              <w:t xml:space="preserve"> smart networks and Internet of Things</w:t>
            </w:r>
            <w:r w:rsidRPr="00301A2F">
              <w:rPr>
                <w:rFonts w:ascii="Arial" w:hAnsi="Arial"/>
                <w:sz w:val="20"/>
                <w:szCs w:val="20"/>
              </w:rPr>
              <w:t xml:space="preserve"> to the market.</w:t>
            </w:r>
            <w:r w:rsidRPr="008F2EDB">
              <w:rPr>
                <w:rFonts w:ascii="Arial" w:hAnsi="Arial"/>
                <w:sz w:val="20"/>
                <w:szCs w:val="20"/>
              </w:rPr>
              <w:t xml:space="preserve"> </w:t>
            </w:r>
          </w:p>
          <w:p w14:paraId="731897C0" w14:textId="77777777" w:rsidR="00EA3F50" w:rsidRDefault="00EA3F50" w:rsidP="00552458">
            <w:pPr>
              <w:jc w:val="both"/>
              <w:rPr>
                <w:rFonts w:ascii="Arial" w:hAnsi="Arial"/>
                <w:sz w:val="20"/>
                <w:szCs w:val="20"/>
              </w:rPr>
            </w:pPr>
          </w:p>
          <w:p w14:paraId="31F1B5E3" w14:textId="7D78F5F6" w:rsidR="00552458" w:rsidRPr="00552458" w:rsidRDefault="00552458" w:rsidP="00552458">
            <w:pPr>
              <w:jc w:val="both"/>
              <w:rPr>
                <w:rFonts w:ascii="Arial" w:hAnsi="Arial"/>
                <w:sz w:val="20"/>
                <w:szCs w:val="20"/>
              </w:rPr>
            </w:pPr>
          </w:p>
        </w:tc>
      </w:tr>
      <w:tr w:rsidR="003D18D0" w:rsidRPr="00360490" w14:paraId="6FA75063" w14:textId="77777777" w:rsidTr="0096145F">
        <w:tc>
          <w:tcPr>
            <w:tcW w:w="819" w:type="dxa"/>
          </w:tcPr>
          <w:p w14:paraId="6FA7505F" w14:textId="73FB6D1C" w:rsidR="003D18D0" w:rsidRPr="00360490" w:rsidRDefault="004F1242" w:rsidP="00543940">
            <w:pPr>
              <w:rPr>
                <w:rFonts w:ascii="Arial" w:hAnsi="Arial"/>
                <w:b/>
                <w:sz w:val="20"/>
                <w:szCs w:val="20"/>
              </w:rPr>
            </w:pPr>
            <w:r w:rsidRPr="00360490">
              <w:rPr>
                <w:rFonts w:ascii="Arial" w:hAnsi="Arial"/>
                <w:b/>
                <w:sz w:val="20"/>
                <w:szCs w:val="20"/>
              </w:rPr>
              <w:t>3.</w:t>
            </w:r>
          </w:p>
        </w:tc>
        <w:tc>
          <w:tcPr>
            <w:tcW w:w="2287" w:type="dxa"/>
          </w:tcPr>
          <w:p w14:paraId="6FA75060" w14:textId="1DD12480" w:rsidR="003D18D0" w:rsidRPr="00360490" w:rsidRDefault="00315254" w:rsidP="00543940">
            <w:pPr>
              <w:rPr>
                <w:rFonts w:ascii="Arial" w:hAnsi="Arial"/>
                <w:b/>
                <w:sz w:val="20"/>
                <w:szCs w:val="20"/>
              </w:rPr>
            </w:pPr>
            <w:r w:rsidRPr="00360490">
              <w:rPr>
                <w:rFonts w:ascii="Arial" w:hAnsi="Arial"/>
                <w:b/>
                <w:sz w:val="20"/>
                <w:szCs w:val="20"/>
              </w:rPr>
              <w:t>Product Name</w:t>
            </w:r>
          </w:p>
          <w:p w14:paraId="6FA75061" w14:textId="77777777" w:rsidR="003D18D0" w:rsidRPr="00360490" w:rsidRDefault="003D18D0" w:rsidP="00543940">
            <w:pPr>
              <w:rPr>
                <w:rFonts w:ascii="Arial" w:hAnsi="Arial"/>
                <w:b/>
                <w:sz w:val="20"/>
                <w:szCs w:val="20"/>
              </w:rPr>
            </w:pPr>
          </w:p>
        </w:tc>
        <w:tc>
          <w:tcPr>
            <w:tcW w:w="7208" w:type="dxa"/>
          </w:tcPr>
          <w:p w14:paraId="6FA75062" w14:textId="09C53196" w:rsidR="003D18D0" w:rsidRPr="00EA3F50" w:rsidRDefault="00EA3F50" w:rsidP="00EA3F50">
            <w:pPr>
              <w:jc w:val="both"/>
              <w:rPr>
                <w:rFonts w:ascii="Arial" w:hAnsi="Arial"/>
                <w:b/>
                <w:i/>
                <w:sz w:val="20"/>
                <w:szCs w:val="20"/>
              </w:rPr>
            </w:pPr>
            <w:r w:rsidRPr="00EA3F50">
              <w:rPr>
                <w:rFonts w:ascii="Arial" w:hAnsi="Arial" w:cs="Arial"/>
                <w:b/>
                <w:sz w:val="20"/>
                <w:szCs w:val="20"/>
              </w:rPr>
              <w:t xml:space="preserve">InvestEU for </w:t>
            </w:r>
            <w:r>
              <w:rPr>
                <w:rFonts w:ascii="Arial" w:hAnsi="Arial" w:cs="Arial"/>
                <w:b/>
                <w:sz w:val="20"/>
                <w:szCs w:val="20"/>
              </w:rPr>
              <w:t>MidCap Growth Finance</w:t>
            </w:r>
          </w:p>
        </w:tc>
      </w:tr>
      <w:tr w:rsidR="003D18D0" w:rsidRPr="00360490" w14:paraId="6FA7506D" w14:textId="77777777" w:rsidTr="0096145F">
        <w:tc>
          <w:tcPr>
            <w:tcW w:w="819" w:type="dxa"/>
          </w:tcPr>
          <w:p w14:paraId="6FA75064" w14:textId="6EA3BAD0" w:rsidR="003D18D0" w:rsidRPr="00360490" w:rsidRDefault="004F1242" w:rsidP="00543940">
            <w:pPr>
              <w:rPr>
                <w:rFonts w:ascii="Arial" w:hAnsi="Arial"/>
                <w:b/>
                <w:sz w:val="20"/>
                <w:szCs w:val="20"/>
              </w:rPr>
            </w:pPr>
            <w:r w:rsidRPr="00360490">
              <w:rPr>
                <w:rFonts w:ascii="Arial" w:hAnsi="Arial"/>
                <w:b/>
                <w:sz w:val="20"/>
                <w:szCs w:val="20"/>
              </w:rPr>
              <w:t>4.</w:t>
            </w:r>
          </w:p>
        </w:tc>
        <w:tc>
          <w:tcPr>
            <w:tcW w:w="2287" w:type="dxa"/>
          </w:tcPr>
          <w:p w14:paraId="6FA75065" w14:textId="7D97AD1F" w:rsidR="005B3AF9" w:rsidRPr="00360490" w:rsidRDefault="003D18D0" w:rsidP="00543940">
            <w:pPr>
              <w:rPr>
                <w:rFonts w:ascii="Arial" w:hAnsi="Arial"/>
                <w:b/>
                <w:sz w:val="20"/>
                <w:szCs w:val="20"/>
              </w:rPr>
            </w:pPr>
            <w:r w:rsidRPr="00360490">
              <w:rPr>
                <w:rFonts w:ascii="Arial" w:hAnsi="Arial"/>
                <w:b/>
                <w:sz w:val="20"/>
                <w:szCs w:val="20"/>
              </w:rPr>
              <w:t>Rationale</w:t>
            </w:r>
            <w:r w:rsidR="003D3A25" w:rsidRPr="00360490">
              <w:rPr>
                <w:rFonts w:ascii="Arial" w:hAnsi="Arial"/>
                <w:b/>
                <w:sz w:val="20"/>
                <w:szCs w:val="20"/>
              </w:rPr>
              <w:t xml:space="preserve">, </w:t>
            </w:r>
            <w:r w:rsidR="00354F5E" w:rsidRPr="00360490">
              <w:rPr>
                <w:rFonts w:ascii="Arial" w:hAnsi="Arial"/>
                <w:b/>
                <w:sz w:val="20"/>
                <w:szCs w:val="20"/>
              </w:rPr>
              <w:t>Objectives</w:t>
            </w:r>
            <w:r w:rsidR="001C41DF" w:rsidRPr="00360490">
              <w:rPr>
                <w:rFonts w:ascii="Arial" w:hAnsi="Arial"/>
                <w:b/>
                <w:sz w:val="20"/>
                <w:szCs w:val="20"/>
              </w:rPr>
              <w:t xml:space="preserve"> and </w:t>
            </w:r>
            <w:r w:rsidR="003D3A25" w:rsidRPr="00360490">
              <w:rPr>
                <w:rFonts w:ascii="Arial" w:hAnsi="Arial"/>
                <w:b/>
                <w:sz w:val="20"/>
                <w:szCs w:val="20"/>
              </w:rPr>
              <w:t>E</w:t>
            </w:r>
            <w:r w:rsidR="001C41DF" w:rsidRPr="00360490">
              <w:rPr>
                <w:rFonts w:ascii="Arial" w:hAnsi="Arial"/>
                <w:b/>
                <w:sz w:val="20"/>
                <w:szCs w:val="20"/>
              </w:rPr>
              <w:t xml:space="preserve">xpected </w:t>
            </w:r>
            <w:r w:rsidR="003D3A25" w:rsidRPr="00360490">
              <w:rPr>
                <w:rFonts w:ascii="Arial" w:hAnsi="Arial"/>
                <w:b/>
                <w:sz w:val="20"/>
                <w:szCs w:val="20"/>
              </w:rPr>
              <w:t>I</w:t>
            </w:r>
            <w:r w:rsidR="001C41DF" w:rsidRPr="00360490">
              <w:rPr>
                <w:rFonts w:ascii="Arial" w:hAnsi="Arial"/>
                <w:b/>
                <w:sz w:val="20"/>
                <w:szCs w:val="20"/>
              </w:rPr>
              <w:t>mpact</w:t>
            </w:r>
          </w:p>
        </w:tc>
        <w:tc>
          <w:tcPr>
            <w:tcW w:w="7208" w:type="dxa"/>
          </w:tcPr>
          <w:p w14:paraId="013F8153" w14:textId="41750142" w:rsidR="006C26D4" w:rsidRPr="00301A2F" w:rsidRDefault="006C26D4" w:rsidP="006C26D4">
            <w:pPr>
              <w:autoSpaceDE w:val="0"/>
              <w:autoSpaceDN w:val="0"/>
              <w:adjustRightInd w:val="0"/>
              <w:jc w:val="both"/>
              <w:rPr>
                <w:rFonts w:ascii="Arial" w:hAnsi="Arial"/>
                <w:sz w:val="20"/>
                <w:szCs w:val="20"/>
              </w:rPr>
            </w:pPr>
            <w:r>
              <w:rPr>
                <w:rFonts w:ascii="Arial" w:hAnsi="Arial"/>
                <w:sz w:val="20"/>
                <w:szCs w:val="20"/>
              </w:rPr>
              <w:t>I</w:t>
            </w:r>
            <w:r w:rsidRPr="00301A2F">
              <w:rPr>
                <w:rFonts w:ascii="Arial" w:hAnsi="Arial"/>
                <w:sz w:val="20"/>
                <w:szCs w:val="20"/>
              </w:rPr>
              <w:t>nnovative European mid</w:t>
            </w:r>
            <w:r>
              <w:rPr>
                <w:rFonts w:ascii="Arial" w:hAnsi="Arial"/>
                <w:sz w:val="20"/>
                <w:szCs w:val="20"/>
              </w:rPr>
              <w:t>-</w:t>
            </w:r>
            <w:r w:rsidRPr="00301A2F">
              <w:rPr>
                <w:rFonts w:ascii="Arial" w:hAnsi="Arial"/>
                <w:sz w:val="20"/>
                <w:szCs w:val="20"/>
              </w:rPr>
              <w:t>cap</w:t>
            </w:r>
            <w:r>
              <w:rPr>
                <w:rFonts w:ascii="Arial" w:hAnsi="Arial"/>
                <w:sz w:val="20"/>
                <w:szCs w:val="20"/>
              </w:rPr>
              <w:t>s contribute to Europe’s</w:t>
            </w:r>
            <w:r w:rsidRPr="00301A2F">
              <w:rPr>
                <w:rFonts w:ascii="Arial" w:hAnsi="Arial"/>
                <w:sz w:val="20"/>
                <w:szCs w:val="20"/>
              </w:rPr>
              <w:t xml:space="preserve"> future growth, prosperity and competitiveness </w:t>
            </w:r>
            <w:r>
              <w:rPr>
                <w:rFonts w:ascii="Arial" w:hAnsi="Arial"/>
                <w:sz w:val="20"/>
                <w:szCs w:val="20"/>
              </w:rPr>
              <w:t>through t</w:t>
            </w:r>
            <w:r w:rsidRPr="00301A2F">
              <w:rPr>
                <w:rFonts w:ascii="Arial" w:hAnsi="Arial"/>
                <w:sz w:val="20"/>
                <w:szCs w:val="20"/>
              </w:rPr>
              <w:t>heir ability to develop and market higher va</w:t>
            </w:r>
            <w:r>
              <w:rPr>
                <w:rFonts w:ascii="Arial" w:hAnsi="Arial"/>
                <w:sz w:val="20"/>
                <w:szCs w:val="20"/>
              </w:rPr>
              <w:t>lue-added products and services</w:t>
            </w:r>
            <w:r w:rsidRPr="00301A2F">
              <w:rPr>
                <w:rFonts w:ascii="Arial" w:hAnsi="Arial"/>
                <w:sz w:val="20"/>
                <w:szCs w:val="20"/>
              </w:rPr>
              <w:t xml:space="preserve">. </w:t>
            </w:r>
            <w:r>
              <w:rPr>
                <w:rFonts w:ascii="Arial" w:hAnsi="Arial"/>
                <w:sz w:val="20"/>
                <w:szCs w:val="20"/>
              </w:rPr>
              <w:t>These companies</w:t>
            </w:r>
            <w:r w:rsidRPr="00301A2F">
              <w:rPr>
                <w:rFonts w:ascii="Arial" w:hAnsi="Arial"/>
                <w:sz w:val="20"/>
                <w:szCs w:val="20"/>
              </w:rPr>
              <w:t xml:space="preserve">, </w:t>
            </w:r>
            <w:r>
              <w:rPr>
                <w:rFonts w:ascii="Arial" w:hAnsi="Arial"/>
                <w:sz w:val="20"/>
                <w:szCs w:val="20"/>
              </w:rPr>
              <w:t>when expanding be</w:t>
            </w:r>
            <w:r w:rsidRPr="00301A2F">
              <w:rPr>
                <w:rFonts w:ascii="Arial" w:hAnsi="Arial"/>
                <w:sz w:val="20"/>
                <w:szCs w:val="20"/>
              </w:rPr>
              <w:t>yond the Venture Capital funding stage</w:t>
            </w:r>
            <w:r>
              <w:rPr>
                <w:rFonts w:ascii="Arial" w:hAnsi="Arial"/>
                <w:sz w:val="20"/>
                <w:szCs w:val="20"/>
              </w:rPr>
              <w:t xml:space="preserve">, </w:t>
            </w:r>
            <w:r w:rsidRPr="00301A2F">
              <w:rPr>
                <w:rFonts w:ascii="Arial" w:hAnsi="Arial"/>
                <w:sz w:val="20"/>
                <w:szCs w:val="20"/>
              </w:rPr>
              <w:t>lack the cash flow stability and asset quality to have access to suffic</w:t>
            </w:r>
            <w:r>
              <w:rPr>
                <w:rFonts w:ascii="Arial" w:hAnsi="Arial"/>
                <w:sz w:val="20"/>
                <w:szCs w:val="20"/>
              </w:rPr>
              <w:t xml:space="preserve">ient and stable debt financing, i.e. they face </w:t>
            </w:r>
            <w:r w:rsidRPr="00301A2F">
              <w:rPr>
                <w:rFonts w:ascii="Arial" w:hAnsi="Arial"/>
                <w:sz w:val="20"/>
                <w:szCs w:val="20"/>
              </w:rPr>
              <w:t>the second “Valley of Death”.</w:t>
            </w:r>
            <w:r w:rsidR="00D03221">
              <w:rPr>
                <w:rFonts w:ascii="Arial" w:hAnsi="Arial"/>
                <w:sz w:val="20"/>
                <w:szCs w:val="20"/>
              </w:rPr>
              <w:t xml:space="preserve"> While the thresholds are not necessary the same in terms of size, European companies successfully active in the research and development of strategic technologies – essential for the evolution of key European vertical industries - often lack the necessary capital for scaling up and commercialising these technologies widely on the market.  </w:t>
            </w:r>
          </w:p>
          <w:p w14:paraId="7C50F649" w14:textId="77777777" w:rsidR="006C26D4" w:rsidRPr="00301A2F" w:rsidRDefault="006C26D4" w:rsidP="006C26D4">
            <w:pPr>
              <w:autoSpaceDE w:val="0"/>
              <w:autoSpaceDN w:val="0"/>
              <w:adjustRightInd w:val="0"/>
              <w:jc w:val="both"/>
              <w:rPr>
                <w:rFonts w:ascii="Arial" w:hAnsi="Arial"/>
                <w:sz w:val="20"/>
                <w:szCs w:val="20"/>
              </w:rPr>
            </w:pPr>
          </w:p>
          <w:p w14:paraId="49054402" w14:textId="77777777" w:rsidR="006C26D4" w:rsidRPr="00301A2F" w:rsidRDefault="006C26D4" w:rsidP="006C26D4">
            <w:pPr>
              <w:autoSpaceDE w:val="0"/>
              <w:autoSpaceDN w:val="0"/>
              <w:adjustRightInd w:val="0"/>
              <w:jc w:val="both"/>
              <w:rPr>
                <w:rFonts w:ascii="Arial" w:hAnsi="Arial"/>
                <w:b/>
                <w:sz w:val="20"/>
                <w:szCs w:val="20"/>
              </w:rPr>
            </w:pPr>
            <w:r w:rsidRPr="00301A2F">
              <w:rPr>
                <w:rFonts w:ascii="Arial" w:hAnsi="Arial"/>
                <w:sz w:val="20"/>
                <w:szCs w:val="20"/>
              </w:rPr>
              <w:t xml:space="preserve">The </w:t>
            </w:r>
            <w:r>
              <w:rPr>
                <w:rFonts w:ascii="Arial" w:hAnsi="Arial"/>
                <w:sz w:val="20"/>
                <w:szCs w:val="20"/>
              </w:rPr>
              <w:t xml:space="preserve">2012 PwC </w:t>
            </w:r>
            <w:r w:rsidRPr="008F2EDB">
              <w:rPr>
                <w:rFonts w:ascii="Arial" w:hAnsi="Arial"/>
                <w:sz w:val="20"/>
                <w:szCs w:val="20"/>
                <w:lang w:val="en-IE"/>
              </w:rPr>
              <w:t xml:space="preserve">Growth Capital Instrument Study </w:t>
            </w:r>
            <w:r w:rsidRPr="00301A2F">
              <w:rPr>
                <w:rFonts w:ascii="Arial" w:hAnsi="Arial"/>
                <w:sz w:val="20"/>
                <w:szCs w:val="20"/>
              </w:rPr>
              <w:t xml:space="preserve">on </w:t>
            </w:r>
            <w:r>
              <w:rPr>
                <w:rFonts w:ascii="Arial" w:hAnsi="Arial"/>
                <w:sz w:val="20"/>
                <w:szCs w:val="20"/>
              </w:rPr>
              <w:t>the access to finance</w:t>
            </w:r>
            <w:r w:rsidRPr="00301A2F">
              <w:rPr>
                <w:rFonts w:ascii="Arial" w:hAnsi="Arial"/>
                <w:sz w:val="20"/>
                <w:szCs w:val="20"/>
              </w:rPr>
              <w:t xml:space="preserve"> for European mid-cap companies </w:t>
            </w:r>
            <w:r>
              <w:rPr>
                <w:rFonts w:ascii="Arial" w:hAnsi="Arial"/>
                <w:sz w:val="20"/>
                <w:szCs w:val="20"/>
              </w:rPr>
              <w:t>analysed</w:t>
            </w:r>
            <w:r w:rsidRPr="00301A2F">
              <w:rPr>
                <w:rFonts w:ascii="Arial" w:hAnsi="Arial"/>
                <w:sz w:val="20"/>
                <w:szCs w:val="20"/>
              </w:rPr>
              <w:t xml:space="preserve"> 300 companies </w:t>
            </w:r>
            <w:r>
              <w:rPr>
                <w:rFonts w:ascii="Arial" w:hAnsi="Arial"/>
                <w:sz w:val="20"/>
                <w:szCs w:val="20"/>
              </w:rPr>
              <w:t>out of which</w:t>
            </w:r>
            <w:r w:rsidRPr="00301A2F">
              <w:rPr>
                <w:rFonts w:ascii="Arial" w:hAnsi="Arial"/>
                <w:sz w:val="20"/>
                <w:szCs w:val="20"/>
              </w:rPr>
              <w:t xml:space="preserve"> </w:t>
            </w:r>
            <w:r w:rsidRPr="00301A2F">
              <w:rPr>
                <w:rFonts w:ascii="Arial" w:hAnsi="Arial"/>
                <w:b/>
                <w:sz w:val="20"/>
                <w:szCs w:val="20"/>
              </w:rPr>
              <w:t>two-thirds indicated a lack of appropriate debt financing</w:t>
            </w:r>
            <w:r w:rsidRPr="00301A2F">
              <w:rPr>
                <w:rFonts w:ascii="Arial" w:hAnsi="Arial"/>
                <w:sz w:val="20"/>
                <w:szCs w:val="20"/>
              </w:rPr>
              <w:t xml:space="preserve">, while one-third indicated interest in, but no access to, hybrid and equity-type financing. PwC estimated the total gap in equity-risk financing for the target mid-caps across Europe to be EUR </w:t>
            </w:r>
            <w:r w:rsidRPr="00301A2F">
              <w:rPr>
                <w:rFonts w:ascii="Arial" w:hAnsi="Arial"/>
                <w:b/>
                <w:sz w:val="20"/>
                <w:szCs w:val="20"/>
              </w:rPr>
              <w:t>32-34bn over the next three years.</w:t>
            </w:r>
            <w:r>
              <w:rPr>
                <w:rFonts w:ascii="Arial" w:hAnsi="Arial"/>
                <w:b/>
                <w:sz w:val="20"/>
                <w:szCs w:val="20"/>
              </w:rPr>
              <w:t xml:space="preserve"> </w:t>
            </w:r>
            <w:r w:rsidRPr="008F2EDB">
              <w:rPr>
                <w:rFonts w:ascii="Arial" w:hAnsi="Arial"/>
                <w:sz w:val="20"/>
                <w:szCs w:val="20"/>
              </w:rPr>
              <w:t xml:space="preserve">In 2017, EIB estimated that the market gap for innovative mid-caps affects about 2.500 European companies, where the financing need is between EUR 10m to EUR </w:t>
            </w:r>
            <w:r w:rsidRPr="008F2EDB">
              <w:rPr>
                <w:rFonts w:ascii="Arial" w:hAnsi="Arial"/>
                <w:sz w:val="20"/>
                <w:szCs w:val="20"/>
              </w:rPr>
              <w:lastRenderedPageBreak/>
              <w:t>17m (Rees, 2017).</w:t>
            </w:r>
            <w:r>
              <w:rPr>
                <w:rStyle w:val="FootnoteReference"/>
                <w:rFonts w:ascii="Arial" w:hAnsi="Arial"/>
                <w:sz w:val="20"/>
                <w:szCs w:val="20"/>
              </w:rPr>
              <w:footnoteReference w:id="2"/>
            </w:r>
          </w:p>
          <w:p w14:paraId="578A76D8" w14:textId="0F806C03" w:rsidR="006C26D4" w:rsidRPr="00301A2F" w:rsidRDefault="006C26D4" w:rsidP="006C26D4">
            <w:pPr>
              <w:autoSpaceDE w:val="0"/>
              <w:autoSpaceDN w:val="0"/>
              <w:adjustRightInd w:val="0"/>
              <w:jc w:val="both"/>
              <w:rPr>
                <w:rFonts w:ascii="Arial" w:hAnsi="Arial"/>
                <w:sz w:val="20"/>
                <w:szCs w:val="20"/>
              </w:rPr>
            </w:pPr>
            <w:r>
              <w:rPr>
                <w:rFonts w:ascii="Arial" w:hAnsi="Arial"/>
                <w:sz w:val="20"/>
                <w:szCs w:val="20"/>
              </w:rPr>
              <w:t>Innovative m</w:t>
            </w:r>
            <w:r w:rsidRPr="00301A2F">
              <w:rPr>
                <w:rFonts w:ascii="Arial" w:hAnsi="Arial"/>
                <w:sz w:val="20"/>
                <w:szCs w:val="20"/>
              </w:rPr>
              <w:t>id-cap</w:t>
            </w:r>
            <w:r>
              <w:rPr>
                <w:rFonts w:ascii="Arial" w:hAnsi="Arial"/>
                <w:sz w:val="20"/>
                <w:szCs w:val="20"/>
              </w:rPr>
              <w:t>s</w:t>
            </w:r>
            <w:r w:rsidRPr="00301A2F">
              <w:rPr>
                <w:rFonts w:ascii="Arial" w:hAnsi="Arial"/>
                <w:sz w:val="20"/>
                <w:szCs w:val="20"/>
              </w:rPr>
              <w:t xml:space="preserve"> </w:t>
            </w:r>
            <w:r w:rsidR="00D03221">
              <w:rPr>
                <w:rFonts w:ascii="Arial" w:hAnsi="Arial"/>
                <w:sz w:val="20"/>
                <w:szCs w:val="20"/>
              </w:rPr>
              <w:t xml:space="preserve">and digital scale ups </w:t>
            </w:r>
            <w:r>
              <w:rPr>
                <w:rFonts w:ascii="Arial" w:hAnsi="Arial"/>
                <w:sz w:val="20"/>
                <w:szCs w:val="20"/>
              </w:rPr>
              <w:t>face two problems: 1)</w:t>
            </w:r>
            <w:r w:rsidRPr="00301A2F">
              <w:rPr>
                <w:rFonts w:ascii="Arial" w:hAnsi="Arial"/>
                <w:sz w:val="20"/>
                <w:szCs w:val="20"/>
              </w:rPr>
              <w:t xml:space="preserve"> find</w:t>
            </w:r>
            <w:r>
              <w:rPr>
                <w:rFonts w:ascii="Arial" w:hAnsi="Arial"/>
                <w:sz w:val="20"/>
                <w:szCs w:val="20"/>
              </w:rPr>
              <w:t>ing</w:t>
            </w:r>
            <w:r w:rsidRPr="00301A2F">
              <w:rPr>
                <w:rFonts w:ascii="Arial" w:hAnsi="Arial"/>
                <w:sz w:val="20"/>
                <w:szCs w:val="20"/>
              </w:rPr>
              <w:t xml:space="preserve"> available risk capital, and </w:t>
            </w:r>
            <w:r>
              <w:rPr>
                <w:rFonts w:ascii="Arial" w:hAnsi="Arial"/>
                <w:sz w:val="20"/>
                <w:szCs w:val="20"/>
              </w:rPr>
              <w:t xml:space="preserve">2) </w:t>
            </w:r>
            <w:r w:rsidRPr="00301A2F">
              <w:rPr>
                <w:rFonts w:ascii="Arial" w:hAnsi="Arial"/>
                <w:sz w:val="20"/>
                <w:szCs w:val="20"/>
              </w:rPr>
              <w:t>decid</w:t>
            </w:r>
            <w:r>
              <w:rPr>
                <w:rFonts w:ascii="Arial" w:hAnsi="Arial"/>
                <w:sz w:val="20"/>
                <w:szCs w:val="20"/>
              </w:rPr>
              <w:t>ing</w:t>
            </w:r>
            <w:r w:rsidRPr="00301A2F">
              <w:rPr>
                <w:rFonts w:ascii="Arial" w:hAnsi="Arial"/>
                <w:sz w:val="20"/>
                <w:szCs w:val="20"/>
              </w:rPr>
              <w:t xml:space="preserve"> on the right mix of funding. Finding available sources of financing is typically limited to debt and additional rounds of equity financing. Innovative mid-cap</w:t>
            </w:r>
            <w:r>
              <w:rPr>
                <w:rFonts w:ascii="Arial" w:hAnsi="Arial"/>
                <w:sz w:val="20"/>
                <w:szCs w:val="20"/>
              </w:rPr>
              <w:t xml:space="preserve">s </w:t>
            </w:r>
            <w:r w:rsidRPr="00301A2F">
              <w:rPr>
                <w:rFonts w:ascii="Arial" w:hAnsi="Arial"/>
                <w:sz w:val="20"/>
                <w:szCs w:val="20"/>
              </w:rPr>
              <w:t xml:space="preserve">typically have balance sheets reflecting their efforts to develop and/or acquire skills and intellectual property while experiencing above-market growth. This usually leads to balance sheets dominated by long-term intangible assets and/or short-term working capital assets and liabilities. </w:t>
            </w:r>
          </w:p>
          <w:p w14:paraId="75FE3361" w14:textId="77777777" w:rsidR="006C26D4" w:rsidRPr="00301A2F" w:rsidRDefault="006C26D4" w:rsidP="006C26D4">
            <w:pPr>
              <w:autoSpaceDE w:val="0"/>
              <w:autoSpaceDN w:val="0"/>
              <w:adjustRightInd w:val="0"/>
              <w:jc w:val="both"/>
              <w:rPr>
                <w:rFonts w:ascii="Arial" w:hAnsi="Arial"/>
                <w:sz w:val="20"/>
                <w:szCs w:val="20"/>
              </w:rPr>
            </w:pPr>
          </w:p>
          <w:p w14:paraId="3405F432" w14:textId="28548888" w:rsidR="006C26D4" w:rsidRPr="00301A2F" w:rsidRDefault="006C26D4" w:rsidP="006C26D4">
            <w:pPr>
              <w:autoSpaceDE w:val="0"/>
              <w:autoSpaceDN w:val="0"/>
              <w:adjustRightInd w:val="0"/>
              <w:jc w:val="both"/>
              <w:rPr>
                <w:rFonts w:ascii="Arial" w:hAnsi="Arial"/>
                <w:sz w:val="20"/>
                <w:szCs w:val="20"/>
              </w:rPr>
            </w:pPr>
            <w:r w:rsidRPr="00301A2F">
              <w:rPr>
                <w:rFonts w:ascii="Arial" w:hAnsi="Arial"/>
                <w:sz w:val="20"/>
                <w:szCs w:val="20"/>
              </w:rPr>
              <w:t xml:space="preserve">The </w:t>
            </w:r>
            <w:r>
              <w:rPr>
                <w:rFonts w:ascii="Arial" w:hAnsi="Arial"/>
                <w:sz w:val="20"/>
                <w:szCs w:val="20"/>
              </w:rPr>
              <w:t xml:space="preserve">financing provided under this product will seek to address the lack of </w:t>
            </w:r>
            <w:r w:rsidRPr="00301A2F">
              <w:rPr>
                <w:rFonts w:ascii="Arial" w:hAnsi="Arial"/>
                <w:sz w:val="20"/>
                <w:szCs w:val="20"/>
              </w:rPr>
              <w:t>access to, hybrid and equity-type financing.</w:t>
            </w:r>
          </w:p>
          <w:p w14:paraId="6FA7506C" w14:textId="3CADAC86" w:rsidR="00823F22" w:rsidRPr="00360490" w:rsidRDefault="00823F22" w:rsidP="00237CD9">
            <w:pPr>
              <w:autoSpaceDE w:val="0"/>
              <w:autoSpaceDN w:val="0"/>
              <w:adjustRightInd w:val="0"/>
              <w:jc w:val="both"/>
              <w:rPr>
                <w:rFonts w:ascii="Arial" w:hAnsi="Arial"/>
                <w:i/>
                <w:sz w:val="20"/>
                <w:szCs w:val="20"/>
              </w:rPr>
            </w:pPr>
          </w:p>
        </w:tc>
      </w:tr>
      <w:tr w:rsidR="00855650" w:rsidRPr="00360490" w14:paraId="18FF3154" w14:textId="77777777" w:rsidTr="0096145F">
        <w:tc>
          <w:tcPr>
            <w:tcW w:w="819" w:type="dxa"/>
          </w:tcPr>
          <w:p w14:paraId="2C711314" w14:textId="6A9EC8DE" w:rsidR="00855650" w:rsidRPr="00360490" w:rsidRDefault="00915530" w:rsidP="00855650">
            <w:pPr>
              <w:rPr>
                <w:rFonts w:ascii="Arial" w:hAnsi="Arial"/>
                <w:b/>
                <w:sz w:val="20"/>
                <w:szCs w:val="20"/>
              </w:rPr>
            </w:pPr>
            <w:r w:rsidRPr="00360490">
              <w:rPr>
                <w:rFonts w:ascii="Arial" w:hAnsi="Arial"/>
                <w:b/>
                <w:sz w:val="20"/>
                <w:szCs w:val="20"/>
              </w:rPr>
              <w:lastRenderedPageBreak/>
              <w:t>5</w:t>
            </w:r>
            <w:r w:rsidR="00855650" w:rsidRPr="00360490">
              <w:rPr>
                <w:rFonts w:ascii="Arial" w:hAnsi="Arial"/>
                <w:b/>
                <w:sz w:val="20"/>
                <w:szCs w:val="20"/>
              </w:rPr>
              <w:t>.</w:t>
            </w:r>
          </w:p>
        </w:tc>
        <w:tc>
          <w:tcPr>
            <w:tcW w:w="2287" w:type="dxa"/>
          </w:tcPr>
          <w:p w14:paraId="08F5B672" w14:textId="7F3F29A0" w:rsidR="00855650" w:rsidRPr="00360490" w:rsidRDefault="00855650" w:rsidP="00855650">
            <w:pPr>
              <w:rPr>
                <w:rFonts w:ascii="Arial" w:hAnsi="Arial"/>
                <w:b/>
                <w:sz w:val="20"/>
                <w:szCs w:val="20"/>
              </w:rPr>
            </w:pPr>
            <w:r w:rsidRPr="00360490">
              <w:rPr>
                <w:rFonts w:ascii="Arial" w:hAnsi="Arial"/>
                <w:b/>
                <w:sz w:val="20"/>
                <w:szCs w:val="20"/>
              </w:rPr>
              <w:t>New /existing product</w:t>
            </w:r>
          </w:p>
        </w:tc>
        <w:tc>
          <w:tcPr>
            <w:tcW w:w="7208" w:type="dxa"/>
          </w:tcPr>
          <w:p w14:paraId="352CD0CB" w14:textId="75121DB7" w:rsidR="00855650" w:rsidRPr="00360490" w:rsidRDefault="009122DD" w:rsidP="00855650">
            <w:pPr>
              <w:tabs>
                <w:tab w:val="left" w:pos="915"/>
              </w:tabs>
              <w:autoSpaceDE w:val="0"/>
              <w:autoSpaceDN w:val="0"/>
              <w:adjustRightInd w:val="0"/>
              <w:jc w:val="both"/>
              <w:rPr>
                <w:rFonts w:ascii="Arial" w:hAnsi="Arial"/>
                <w:sz w:val="20"/>
                <w:szCs w:val="20"/>
              </w:rPr>
            </w:pPr>
            <w:sdt>
              <w:sdtPr>
                <w:rPr>
                  <w:rFonts w:ascii="Arial" w:hAnsi="Arial" w:cs="Arial"/>
                  <w:sz w:val="20"/>
                  <w:szCs w:val="20"/>
                </w:rPr>
                <w:id w:val="844358298"/>
                <w14:checkbox>
                  <w14:checked w14:val="1"/>
                  <w14:checkedState w14:val="2612" w14:font="MS Gothic"/>
                  <w14:uncheckedState w14:val="2610" w14:font="MS Gothic"/>
                </w14:checkbox>
              </w:sdtPr>
              <w:sdtEndPr/>
              <w:sdtContent>
                <w:r w:rsidR="00523923">
                  <w:rPr>
                    <w:rFonts w:ascii="MS Gothic" w:eastAsia="MS Gothic" w:hAnsi="MS Gothic" w:cs="Arial" w:hint="eastAsia"/>
                    <w:sz w:val="20"/>
                    <w:szCs w:val="20"/>
                  </w:rPr>
                  <w:t>☒</w:t>
                </w:r>
              </w:sdtContent>
            </w:sdt>
            <w:r w:rsidR="00855650" w:rsidRPr="00360490">
              <w:rPr>
                <w:rFonts w:ascii="Arial" w:hAnsi="Arial"/>
                <w:sz w:val="20"/>
                <w:szCs w:val="20"/>
              </w:rPr>
              <w:t xml:space="preserve"> New product</w:t>
            </w:r>
          </w:p>
          <w:p w14:paraId="302629BB" w14:textId="4799D9EF" w:rsidR="00855650" w:rsidRDefault="009122DD" w:rsidP="00EA3F50">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2024697802"/>
                <w14:checkbox>
                  <w14:checked w14:val="0"/>
                  <w14:checkedState w14:val="2612" w14:font="MS Gothic"/>
                  <w14:uncheckedState w14:val="2610" w14:font="MS Gothic"/>
                </w14:checkbox>
              </w:sdtPr>
              <w:sdtEndPr/>
              <w:sdtContent>
                <w:r w:rsidR="00C516E4">
                  <w:rPr>
                    <w:rFonts w:ascii="MS Gothic" w:eastAsia="MS Gothic" w:hAnsi="MS Gothic" w:cs="Arial" w:hint="eastAsia"/>
                    <w:sz w:val="20"/>
                    <w:szCs w:val="20"/>
                  </w:rPr>
                  <w:t>☐</w:t>
                </w:r>
              </w:sdtContent>
            </w:sdt>
            <w:r w:rsidR="00855650" w:rsidRPr="00360490">
              <w:rPr>
                <w:rFonts w:ascii="Arial" w:hAnsi="Arial" w:cs="Arial"/>
                <w:sz w:val="20"/>
                <w:szCs w:val="20"/>
              </w:rPr>
              <w:t xml:space="preserve"> Continuation of existing product</w:t>
            </w:r>
          </w:p>
          <w:p w14:paraId="4AB73422" w14:textId="77777777" w:rsidR="00523923" w:rsidRDefault="00523923" w:rsidP="00EA3F50">
            <w:pPr>
              <w:tabs>
                <w:tab w:val="left" w:pos="915"/>
              </w:tabs>
              <w:autoSpaceDE w:val="0"/>
              <w:autoSpaceDN w:val="0"/>
              <w:adjustRightInd w:val="0"/>
              <w:jc w:val="both"/>
              <w:rPr>
                <w:rFonts w:ascii="Arial" w:hAnsi="Arial" w:cs="Arial"/>
                <w:sz w:val="20"/>
                <w:szCs w:val="20"/>
              </w:rPr>
            </w:pPr>
          </w:p>
          <w:p w14:paraId="70A4E9B6" w14:textId="3672A1DE" w:rsidR="00523923" w:rsidRDefault="00523923" w:rsidP="00EA3F50">
            <w:pPr>
              <w:tabs>
                <w:tab w:val="left" w:pos="915"/>
              </w:tabs>
              <w:autoSpaceDE w:val="0"/>
              <w:autoSpaceDN w:val="0"/>
              <w:adjustRightInd w:val="0"/>
              <w:jc w:val="both"/>
              <w:rPr>
                <w:rFonts w:ascii="Arial" w:hAnsi="Arial" w:cs="Arial"/>
                <w:sz w:val="20"/>
                <w:szCs w:val="20"/>
              </w:rPr>
            </w:pPr>
            <w:r>
              <w:rPr>
                <w:rFonts w:ascii="Arial" w:hAnsi="Arial" w:cs="Arial"/>
                <w:sz w:val="20"/>
                <w:szCs w:val="20"/>
              </w:rPr>
              <w:t>[to be developed by the im</w:t>
            </w:r>
            <w:r w:rsidR="009876C6">
              <w:rPr>
                <w:rFonts w:ascii="Arial" w:hAnsi="Arial" w:cs="Arial"/>
                <w:sz w:val="20"/>
                <w:szCs w:val="20"/>
              </w:rPr>
              <w:t>plementing partner based on their experience</w:t>
            </w:r>
            <w:r>
              <w:rPr>
                <w:rFonts w:ascii="Arial" w:hAnsi="Arial" w:cs="Arial"/>
                <w:sz w:val="20"/>
                <w:szCs w:val="20"/>
              </w:rPr>
              <w:t>]</w:t>
            </w:r>
          </w:p>
          <w:p w14:paraId="5564D9AA" w14:textId="3AA28A34" w:rsidR="00C21E50" w:rsidRPr="00D55D68" w:rsidRDefault="00C21E50" w:rsidP="00EA3F50">
            <w:pPr>
              <w:tabs>
                <w:tab w:val="left" w:pos="915"/>
              </w:tabs>
              <w:autoSpaceDE w:val="0"/>
              <w:autoSpaceDN w:val="0"/>
              <w:adjustRightInd w:val="0"/>
              <w:jc w:val="both"/>
              <w:rPr>
                <w:rFonts w:ascii="Arial" w:hAnsi="Arial" w:cs="Arial"/>
                <w:sz w:val="20"/>
                <w:szCs w:val="20"/>
              </w:rPr>
            </w:pPr>
          </w:p>
        </w:tc>
      </w:tr>
      <w:tr w:rsidR="00855650" w:rsidRPr="00360490" w14:paraId="6DE2DA4E" w14:textId="77777777" w:rsidTr="0096145F">
        <w:trPr>
          <w:trHeight w:val="1766"/>
        </w:trPr>
        <w:tc>
          <w:tcPr>
            <w:tcW w:w="819" w:type="dxa"/>
          </w:tcPr>
          <w:p w14:paraId="2F24FC8F" w14:textId="646807AB" w:rsidR="00855650" w:rsidRPr="00360490" w:rsidRDefault="00277075" w:rsidP="00855650">
            <w:pPr>
              <w:rPr>
                <w:rFonts w:ascii="Arial" w:hAnsi="Arial"/>
                <w:b/>
                <w:sz w:val="20"/>
                <w:szCs w:val="20"/>
              </w:rPr>
            </w:pPr>
            <w:r w:rsidRPr="00360490">
              <w:rPr>
                <w:rFonts w:ascii="Arial" w:hAnsi="Arial"/>
                <w:b/>
                <w:sz w:val="20"/>
                <w:szCs w:val="20"/>
              </w:rPr>
              <w:t>6</w:t>
            </w:r>
            <w:r w:rsidR="00855650" w:rsidRPr="00360490">
              <w:rPr>
                <w:rFonts w:ascii="Arial" w:hAnsi="Arial"/>
                <w:b/>
                <w:sz w:val="20"/>
                <w:szCs w:val="20"/>
              </w:rPr>
              <w:t>.</w:t>
            </w:r>
          </w:p>
        </w:tc>
        <w:tc>
          <w:tcPr>
            <w:tcW w:w="2287" w:type="dxa"/>
          </w:tcPr>
          <w:p w14:paraId="38F9B9DD" w14:textId="5CA9AF78" w:rsidR="00855650" w:rsidRPr="00360490" w:rsidRDefault="00855650" w:rsidP="00855650">
            <w:pPr>
              <w:rPr>
                <w:rFonts w:ascii="Arial" w:hAnsi="Arial"/>
                <w:b/>
                <w:sz w:val="20"/>
                <w:szCs w:val="20"/>
              </w:rPr>
            </w:pPr>
            <w:r w:rsidRPr="00360490">
              <w:rPr>
                <w:rFonts w:ascii="Arial" w:hAnsi="Arial"/>
                <w:b/>
                <w:sz w:val="20"/>
                <w:szCs w:val="20"/>
              </w:rPr>
              <w:t>Targeted Sectors</w:t>
            </w:r>
          </w:p>
        </w:tc>
        <w:tc>
          <w:tcPr>
            <w:tcW w:w="7208" w:type="dxa"/>
          </w:tcPr>
          <w:p w14:paraId="58A84B65" w14:textId="27EB90D4" w:rsidR="006C26D4" w:rsidRDefault="006C26D4" w:rsidP="006C26D4">
            <w:pPr>
              <w:autoSpaceDE w:val="0"/>
              <w:autoSpaceDN w:val="0"/>
              <w:adjustRightInd w:val="0"/>
              <w:jc w:val="both"/>
              <w:rPr>
                <w:rFonts w:ascii="Arial" w:hAnsi="Arial"/>
                <w:sz w:val="20"/>
                <w:szCs w:val="20"/>
              </w:rPr>
            </w:pPr>
            <w:r w:rsidRPr="00301A2F">
              <w:rPr>
                <w:rFonts w:ascii="Arial" w:hAnsi="Arial"/>
                <w:sz w:val="20"/>
                <w:szCs w:val="20"/>
              </w:rPr>
              <w:t xml:space="preserve">All sectors referred in Annex II, point 5 and 6 of the InvestEU Regulation  and meeting the criteria of the Investment Guidelines section 3.2 are eligible for support. </w:t>
            </w:r>
          </w:p>
          <w:p w14:paraId="599C01D6" w14:textId="648DBCD4" w:rsidR="00C516E4" w:rsidRDefault="00C516E4" w:rsidP="006C26D4">
            <w:pPr>
              <w:autoSpaceDE w:val="0"/>
              <w:autoSpaceDN w:val="0"/>
              <w:adjustRightInd w:val="0"/>
              <w:jc w:val="both"/>
              <w:rPr>
                <w:rFonts w:ascii="Arial" w:hAnsi="Arial"/>
                <w:sz w:val="20"/>
                <w:szCs w:val="20"/>
              </w:rPr>
            </w:pPr>
          </w:p>
          <w:p w14:paraId="5F5C2ACD" w14:textId="64C8A976" w:rsidR="00855650" w:rsidRPr="00360490" w:rsidRDefault="0096145F" w:rsidP="006C26D4">
            <w:pPr>
              <w:tabs>
                <w:tab w:val="left" w:pos="1605"/>
              </w:tabs>
              <w:autoSpaceDE w:val="0"/>
              <w:autoSpaceDN w:val="0"/>
              <w:adjustRightInd w:val="0"/>
              <w:jc w:val="both"/>
              <w:rPr>
                <w:rFonts w:ascii="Arial" w:hAnsi="Arial" w:cs="Arial"/>
                <w:sz w:val="20"/>
                <w:szCs w:val="20"/>
              </w:rPr>
            </w:pPr>
            <w:bookmarkStart w:id="0" w:name="_GoBack"/>
            <w:bookmarkEnd w:id="0"/>
            <w:r w:rsidRPr="009122DD">
              <w:rPr>
                <w:rFonts w:ascii="Arial" w:hAnsi="Arial" w:cs="Arial"/>
                <w:sz w:val="20"/>
                <w:szCs w:val="20"/>
              </w:rPr>
              <w:t>The Implementing Parter shall propose which particular sector it would want to target to ensure complementarity with its existing product range and additionality under InvestEU.</w:t>
            </w:r>
          </w:p>
        </w:tc>
      </w:tr>
      <w:tr w:rsidR="00855650" w:rsidRPr="00360490" w14:paraId="6FA75075" w14:textId="77777777" w:rsidTr="0096145F">
        <w:tc>
          <w:tcPr>
            <w:tcW w:w="819" w:type="dxa"/>
          </w:tcPr>
          <w:p w14:paraId="6FA7506E" w14:textId="69BA0ADE" w:rsidR="00855650" w:rsidRPr="00360490" w:rsidRDefault="00277075" w:rsidP="00855650">
            <w:pPr>
              <w:rPr>
                <w:rFonts w:ascii="Arial" w:hAnsi="Arial"/>
                <w:b/>
                <w:sz w:val="20"/>
                <w:szCs w:val="20"/>
              </w:rPr>
            </w:pPr>
            <w:r w:rsidRPr="00360490">
              <w:rPr>
                <w:rFonts w:ascii="Arial" w:hAnsi="Arial"/>
                <w:b/>
                <w:sz w:val="20"/>
                <w:szCs w:val="20"/>
              </w:rPr>
              <w:t>7</w:t>
            </w:r>
            <w:r w:rsidR="00855650" w:rsidRPr="00360490">
              <w:rPr>
                <w:rFonts w:ascii="Arial" w:hAnsi="Arial"/>
                <w:b/>
                <w:sz w:val="20"/>
                <w:szCs w:val="20"/>
              </w:rPr>
              <w:t>.</w:t>
            </w:r>
          </w:p>
        </w:tc>
        <w:tc>
          <w:tcPr>
            <w:tcW w:w="2287" w:type="dxa"/>
          </w:tcPr>
          <w:p w14:paraId="6FA7506F" w14:textId="5B808C57" w:rsidR="00855650" w:rsidRPr="00360490" w:rsidRDefault="00855650" w:rsidP="00855650">
            <w:pPr>
              <w:rPr>
                <w:rFonts w:ascii="Arial" w:hAnsi="Arial"/>
                <w:b/>
                <w:sz w:val="20"/>
                <w:szCs w:val="20"/>
              </w:rPr>
            </w:pPr>
            <w:r w:rsidRPr="00360490">
              <w:rPr>
                <w:rFonts w:ascii="Arial" w:hAnsi="Arial"/>
                <w:b/>
                <w:sz w:val="20"/>
                <w:szCs w:val="20"/>
              </w:rPr>
              <w:t>Targeted Recipients</w:t>
            </w:r>
          </w:p>
        </w:tc>
        <w:tc>
          <w:tcPr>
            <w:tcW w:w="7208" w:type="dxa"/>
          </w:tcPr>
          <w:p w14:paraId="3C29725F" w14:textId="77777777" w:rsidR="006C26D4" w:rsidRPr="00A360C4" w:rsidRDefault="006C26D4" w:rsidP="006C26D4">
            <w:pPr>
              <w:tabs>
                <w:tab w:val="left" w:pos="1605"/>
              </w:tabs>
              <w:autoSpaceDE w:val="0"/>
              <w:autoSpaceDN w:val="0"/>
              <w:adjustRightInd w:val="0"/>
              <w:jc w:val="both"/>
              <w:rPr>
                <w:rFonts w:ascii="Arial" w:hAnsi="Arial" w:cs="Arial"/>
                <w:bCs/>
                <w:sz w:val="20"/>
                <w:szCs w:val="20"/>
              </w:rPr>
            </w:pPr>
            <w:r>
              <w:rPr>
                <w:rFonts w:ascii="Arial" w:hAnsi="Arial" w:cs="Arial"/>
                <w:bCs/>
                <w:sz w:val="20"/>
                <w:szCs w:val="20"/>
              </w:rPr>
              <w:t xml:space="preserve">Small mid-cap: </w:t>
            </w:r>
            <w:r w:rsidRPr="00A360C4">
              <w:rPr>
                <w:rFonts w:ascii="Calibri" w:eastAsia="Calibri" w:hAnsi="Calibri" w:cs="Calibri"/>
                <w:noProof/>
                <w:sz w:val="24"/>
                <w:szCs w:val="24"/>
              </w:rPr>
              <w:t xml:space="preserve"> </w:t>
            </w:r>
            <w:r w:rsidRPr="00A360C4">
              <w:rPr>
                <w:rFonts w:ascii="Arial" w:hAnsi="Arial" w:cs="Arial"/>
                <w:bCs/>
                <w:sz w:val="20"/>
                <w:szCs w:val="20"/>
              </w:rPr>
              <w:t>An enterprise within the meaning of Article 1 of the Title I of the Annex of  the Commission Recommendation which</w:t>
            </w:r>
          </w:p>
          <w:p w14:paraId="1D158200" w14:textId="77777777" w:rsidR="006C26D4" w:rsidRPr="00A360C4" w:rsidRDefault="006C26D4" w:rsidP="006C26D4">
            <w:pPr>
              <w:pStyle w:val="ListParagraph"/>
              <w:numPr>
                <w:ilvl w:val="0"/>
                <w:numId w:val="10"/>
              </w:numPr>
              <w:tabs>
                <w:tab w:val="left" w:pos="1605"/>
              </w:tabs>
              <w:autoSpaceDE w:val="0"/>
              <w:autoSpaceDN w:val="0"/>
              <w:adjustRightInd w:val="0"/>
              <w:ind w:left="850" w:hanging="425"/>
              <w:jc w:val="both"/>
              <w:rPr>
                <w:rFonts w:ascii="Arial" w:hAnsi="Arial" w:cs="Arial"/>
                <w:bCs/>
                <w:sz w:val="20"/>
                <w:szCs w:val="20"/>
              </w:rPr>
            </w:pPr>
            <w:r w:rsidRPr="00A360C4">
              <w:rPr>
                <w:rFonts w:ascii="Arial" w:hAnsi="Arial" w:cs="Arial"/>
                <w:bCs/>
                <w:sz w:val="20"/>
                <w:szCs w:val="20"/>
              </w:rPr>
              <w:t>has up to 499 employees  calculated in accordance with  Articles 3, 4, 5 and 6 of the Title I of the Annex of the Commission Recommendation; and</w:t>
            </w:r>
          </w:p>
          <w:p w14:paraId="5D290B85" w14:textId="77777777" w:rsidR="006C26D4" w:rsidRPr="00A360C4" w:rsidRDefault="006C26D4" w:rsidP="006C26D4">
            <w:pPr>
              <w:pStyle w:val="ListParagraph"/>
              <w:numPr>
                <w:ilvl w:val="0"/>
                <w:numId w:val="10"/>
              </w:numPr>
              <w:tabs>
                <w:tab w:val="left" w:pos="1605"/>
              </w:tabs>
              <w:autoSpaceDE w:val="0"/>
              <w:autoSpaceDN w:val="0"/>
              <w:adjustRightInd w:val="0"/>
              <w:ind w:left="850" w:hanging="425"/>
              <w:jc w:val="both"/>
              <w:rPr>
                <w:rFonts w:ascii="Arial" w:hAnsi="Arial" w:cs="Arial"/>
                <w:bCs/>
                <w:sz w:val="20"/>
                <w:szCs w:val="20"/>
              </w:rPr>
            </w:pPr>
            <w:r w:rsidRPr="00A360C4">
              <w:rPr>
                <w:rFonts w:ascii="Arial" w:hAnsi="Arial" w:cs="Arial"/>
                <w:bCs/>
                <w:sz w:val="20"/>
                <w:szCs w:val="20"/>
              </w:rPr>
              <w:t xml:space="preserve">is not a micro, small or medium-sized enterprise as defined in the Commission Recommendation. </w:t>
            </w:r>
          </w:p>
          <w:p w14:paraId="0AABDF23" w14:textId="77777777" w:rsidR="006C26D4" w:rsidRDefault="006C26D4" w:rsidP="006C26D4">
            <w:pPr>
              <w:tabs>
                <w:tab w:val="left" w:pos="1605"/>
              </w:tabs>
              <w:autoSpaceDE w:val="0"/>
              <w:autoSpaceDN w:val="0"/>
              <w:adjustRightInd w:val="0"/>
              <w:jc w:val="both"/>
              <w:rPr>
                <w:rFonts w:ascii="Arial" w:hAnsi="Arial" w:cs="Arial"/>
                <w:bCs/>
                <w:sz w:val="20"/>
                <w:szCs w:val="20"/>
              </w:rPr>
            </w:pPr>
          </w:p>
          <w:p w14:paraId="16B2B8AB" w14:textId="61627EFD" w:rsidR="00D15C5C" w:rsidRDefault="006C26D4" w:rsidP="006C26D4">
            <w:pPr>
              <w:tabs>
                <w:tab w:val="left" w:pos="1605"/>
              </w:tabs>
              <w:autoSpaceDE w:val="0"/>
              <w:autoSpaceDN w:val="0"/>
              <w:adjustRightInd w:val="0"/>
              <w:jc w:val="both"/>
              <w:rPr>
                <w:rFonts w:ascii="Arial" w:hAnsi="Arial" w:cs="Arial"/>
                <w:bCs/>
                <w:sz w:val="20"/>
                <w:szCs w:val="20"/>
              </w:rPr>
            </w:pPr>
            <w:r>
              <w:rPr>
                <w:rFonts w:ascii="Arial" w:hAnsi="Arial" w:cs="Arial"/>
                <w:bCs/>
                <w:sz w:val="20"/>
                <w:szCs w:val="20"/>
              </w:rPr>
              <w:t xml:space="preserve">Large mid-cap: </w:t>
            </w:r>
            <w:r w:rsidRPr="00A360C4">
              <w:rPr>
                <w:rFonts w:ascii="Calibri" w:eastAsia="Calibri" w:hAnsi="Calibri" w:cs="Calibri"/>
                <w:noProof/>
                <w:sz w:val="24"/>
                <w:szCs w:val="24"/>
              </w:rPr>
              <w:t xml:space="preserve"> </w:t>
            </w:r>
            <w:r w:rsidRPr="00A360C4">
              <w:rPr>
                <w:rFonts w:ascii="Arial" w:hAnsi="Arial" w:cs="Arial"/>
                <w:bCs/>
                <w:sz w:val="20"/>
                <w:szCs w:val="20"/>
              </w:rPr>
              <w:t>An enterprise, as defined in Article 1 of the Title I of the Annex of the Commission Recommendation whose number of</w:t>
            </w:r>
            <w:r>
              <w:rPr>
                <w:rFonts w:ascii="Arial" w:hAnsi="Arial" w:cs="Arial"/>
                <w:bCs/>
                <w:sz w:val="20"/>
                <w:szCs w:val="20"/>
              </w:rPr>
              <w:t xml:space="preserve"> employees is between 500 and 3.</w:t>
            </w:r>
            <w:r w:rsidRPr="00A360C4">
              <w:rPr>
                <w:rFonts w:ascii="Arial" w:hAnsi="Arial" w:cs="Arial"/>
                <w:bCs/>
                <w:sz w:val="20"/>
                <w:szCs w:val="20"/>
              </w:rPr>
              <w:t>000 (with staff headcount calculated in accordance with Articles 3, 4, 5 and 6 of the Title I of the Annex of the Commission Recommendation).</w:t>
            </w:r>
          </w:p>
          <w:p w14:paraId="66C37C78" w14:textId="0C4E4DFD" w:rsidR="00D03221" w:rsidRDefault="00D03221" w:rsidP="00EE21E5">
            <w:pPr>
              <w:tabs>
                <w:tab w:val="left" w:pos="1605"/>
              </w:tabs>
              <w:autoSpaceDE w:val="0"/>
              <w:autoSpaceDN w:val="0"/>
              <w:adjustRightInd w:val="0"/>
              <w:jc w:val="both"/>
              <w:rPr>
                <w:rFonts w:ascii="Arial" w:hAnsi="Arial" w:cs="Arial"/>
                <w:sz w:val="20"/>
                <w:szCs w:val="20"/>
              </w:rPr>
            </w:pPr>
          </w:p>
          <w:p w14:paraId="22F66CE8" w14:textId="16A8DA18" w:rsidR="00AC3EC5" w:rsidRDefault="00EE21E5" w:rsidP="00EE21E5">
            <w:pPr>
              <w:tabs>
                <w:tab w:val="left" w:pos="1605"/>
              </w:tabs>
              <w:autoSpaceDE w:val="0"/>
              <w:autoSpaceDN w:val="0"/>
              <w:adjustRightInd w:val="0"/>
              <w:jc w:val="both"/>
              <w:rPr>
                <w:rFonts w:ascii="Arial" w:hAnsi="Arial" w:cs="Arial"/>
                <w:sz w:val="20"/>
                <w:szCs w:val="20"/>
              </w:rPr>
            </w:pPr>
            <w:r>
              <w:rPr>
                <w:rFonts w:ascii="Arial" w:hAnsi="Arial" w:cs="Arial"/>
                <w:sz w:val="20"/>
                <w:szCs w:val="20"/>
              </w:rPr>
              <w:t xml:space="preserve">Final recipients shall meet the innovation and digital eligibility criteria as laid down in the annex. </w:t>
            </w:r>
          </w:p>
          <w:p w14:paraId="6FA75074" w14:textId="627E5101" w:rsidR="00EE21E5" w:rsidRPr="00360490" w:rsidRDefault="00EE21E5" w:rsidP="00EE21E5">
            <w:pPr>
              <w:tabs>
                <w:tab w:val="left" w:pos="1605"/>
              </w:tabs>
              <w:autoSpaceDE w:val="0"/>
              <w:autoSpaceDN w:val="0"/>
              <w:adjustRightInd w:val="0"/>
              <w:jc w:val="both"/>
              <w:rPr>
                <w:rFonts w:ascii="Arial" w:hAnsi="Arial" w:cs="Arial"/>
                <w:sz w:val="20"/>
                <w:szCs w:val="20"/>
              </w:rPr>
            </w:pPr>
          </w:p>
        </w:tc>
      </w:tr>
      <w:tr w:rsidR="00855650" w:rsidRPr="00360490" w14:paraId="6FA75079" w14:textId="77777777" w:rsidTr="0096145F">
        <w:tc>
          <w:tcPr>
            <w:tcW w:w="819" w:type="dxa"/>
          </w:tcPr>
          <w:p w14:paraId="6FA75076" w14:textId="580C2881" w:rsidR="00855650" w:rsidRPr="00360490" w:rsidRDefault="00277075" w:rsidP="00855650">
            <w:pPr>
              <w:rPr>
                <w:rFonts w:ascii="Arial" w:hAnsi="Arial"/>
                <w:b/>
                <w:sz w:val="20"/>
                <w:szCs w:val="20"/>
              </w:rPr>
            </w:pPr>
            <w:r w:rsidRPr="00360490">
              <w:rPr>
                <w:rFonts w:ascii="Arial" w:hAnsi="Arial"/>
                <w:b/>
                <w:sz w:val="20"/>
                <w:szCs w:val="20"/>
              </w:rPr>
              <w:t>8</w:t>
            </w:r>
            <w:r w:rsidR="00855650" w:rsidRPr="00360490">
              <w:rPr>
                <w:rFonts w:ascii="Arial" w:hAnsi="Arial"/>
                <w:b/>
                <w:sz w:val="20"/>
                <w:szCs w:val="20"/>
              </w:rPr>
              <w:t>.</w:t>
            </w:r>
          </w:p>
        </w:tc>
        <w:tc>
          <w:tcPr>
            <w:tcW w:w="2287" w:type="dxa"/>
          </w:tcPr>
          <w:p w14:paraId="6FA75077" w14:textId="77777777" w:rsidR="00855650" w:rsidRPr="00360490" w:rsidRDefault="00855650" w:rsidP="00855650">
            <w:pPr>
              <w:rPr>
                <w:rFonts w:ascii="Arial" w:hAnsi="Arial"/>
                <w:b/>
                <w:sz w:val="20"/>
                <w:szCs w:val="20"/>
              </w:rPr>
            </w:pPr>
            <w:r w:rsidRPr="00360490">
              <w:rPr>
                <w:rFonts w:ascii="Arial" w:hAnsi="Arial"/>
                <w:b/>
                <w:sz w:val="20"/>
                <w:szCs w:val="20"/>
              </w:rPr>
              <w:t>Targeted Geography</w:t>
            </w:r>
          </w:p>
        </w:tc>
        <w:tc>
          <w:tcPr>
            <w:tcW w:w="7208" w:type="dxa"/>
          </w:tcPr>
          <w:p w14:paraId="3E5AFFCF" w14:textId="4E82E7F5" w:rsidR="00855650" w:rsidRPr="00360490" w:rsidRDefault="009122DD" w:rsidP="00855650">
            <w:pPr>
              <w:autoSpaceDE w:val="0"/>
              <w:autoSpaceDN w:val="0"/>
              <w:adjustRightInd w:val="0"/>
              <w:jc w:val="both"/>
              <w:rPr>
                <w:rFonts w:ascii="Arial" w:hAnsi="Arial" w:cs="Arial"/>
                <w:sz w:val="20"/>
                <w:szCs w:val="20"/>
              </w:rPr>
            </w:pPr>
            <w:sdt>
              <w:sdtPr>
                <w:rPr>
                  <w:rFonts w:ascii="Arial" w:hAnsi="Arial" w:cs="Arial"/>
                  <w:sz w:val="20"/>
                  <w:szCs w:val="20"/>
                </w:rPr>
                <w:id w:val="-1544201527"/>
                <w14:checkbox>
                  <w14:checked w14:val="1"/>
                  <w14:checkedState w14:val="2612" w14:font="MS Gothic"/>
                  <w14:uncheckedState w14:val="2610" w14:font="MS Gothic"/>
                </w14:checkbox>
              </w:sdtPr>
              <w:sdtEndPr/>
              <w:sdtContent>
                <w:r w:rsidR="00EA3F50">
                  <w:rPr>
                    <w:rFonts w:ascii="MS Gothic" w:eastAsia="MS Gothic" w:hAnsi="MS Gothic" w:cs="Arial" w:hint="eastAsia"/>
                    <w:sz w:val="20"/>
                    <w:szCs w:val="20"/>
                  </w:rPr>
                  <w:t>☒</w:t>
                </w:r>
              </w:sdtContent>
            </w:sdt>
            <w:r w:rsidR="00855650" w:rsidRPr="00360490">
              <w:rPr>
                <w:rFonts w:ascii="Arial" w:hAnsi="Arial" w:cs="Arial"/>
                <w:sz w:val="20"/>
                <w:szCs w:val="20"/>
              </w:rPr>
              <w:t xml:space="preserve">All EU MS </w:t>
            </w:r>
          </w:p>
          <w:p w14:paraId="037C5AA8" w14:textId="0447355A" w:rsidR="00855650" w:rsidRPr="00360490" w:rsidRDefault="009122DD" w:rsidP="00855650">
            <w:pPr>
              <w:autoSpaceDE w:val="0"/>
              <w:autoSpaceDN w:val="0"/>
              <w:adjustRightInd w:val="0"/>
              <w:jc w:val="both"/>
              <w:rPr>
                <w:rFonts w:ascii="Arial" w:hAnsi="Arial" w:cs="Arial"/>
                <w:sz w:val="20"/>
                <w:szCs w:val="20"/>
              </w:rPr>
            </w:pPr>
            <w:sdt>
              <w:sdtPr>
                <w:rPr>
                  <w:rFonts w:ascii="Arial" w:hAnsi="Arial" w:cs="Arial"/>
                  <w:sz w:val="20"/>
                  <w:szCs w:val="20"/>
                </w:rPr>
                <w:id w:val="1028909946"/>
                <w14:checkbox>
                  <w14:checked w14:val="0"/>
                  <w14:checkedState w14:val="2612" w14:font="MS Gothic"/>
                  <w14:uncheckedState w14:val="2610" w14:font="MS Gothic"/>
                </w14:checkbox>
              </w:sdtPr>
              <w:sdtEndPr/>
              <w:sdtContent>
                <w:r w:rsidR="00855650" w:rsidRPr="00360490">
                  <w:rPr>
                    <w:rFonts w:ascii="MS Gothic" w:eastAsia="MS Gothic" w:hAnsi="MS Gothic" w:cs="Arial" w:hint="eastAsia"/>
                    <w:sz w:val="20"/>
                    <w:szCs w:val="20"/>
                  </w:rPr>
                  <w:t>☐</w:t>
                </w:r>
              </w:sdtContent>
            </w:sdt>
            <w:r w:rsidR="00855650" w:rsidRPr="00360490">
              <w:rPr>
                <w:rFonts w:ascii="Arial" w:hAnsi="Arial" w:cs="Arial"/>
                <w:sz w:val="20"/>
                <w:szCs w:val="20"/>
              </w:rPr>
              <w:t xml:space="preserve">Selected MS </w:t>
            </w:r>
            <w:r w:rsidR="00855650" w:rsidRPr="00360490">
              <w:rPr>
                <w:rFonts w:ascii="Arial" w:hAnsi="Arial" w:cs="Arial"/>
                <w:i/>
                <w:sz w:val="20"/>
                <w:szCs w:val="20"/>
              </w:rPr>
              <w:t>(please specify)</w:t>
            </w:r>
          </w:p>
          <w:p w14:paraId="4AB3212C" w14:textId="1CF79DB3" w:rsidR="00855650" w:rsidRDefault="009122DD" w:rsidP="00855650">
            <w:pPr>
              <w:autoSpaceDE w:val="0"/>
              <w:autoSpaceDN w:val="0"/>
              <w:adjustRightInd w:val="0"/>
              <w:jc w:val="both"/>
              <w:rPr>
                <w:rFonts w:ascii="Arial" w:hAnsi="Arial" w:cs="Arial"/>
                <w:i/>
                <w:sz w:val="20"/>
                <w:szCs w:val="20"/>
              </w:rPr>
            </w:pPr>
            <w:sdt>
              <w:sdtPr>
                <w:rPr>
                  <w:rFonts w:ascii="Arial" w:hAnsi="Arial" w:cs="Arial"/>
                  <w:sz w:val="20"/>
                  <w:szCs w:val="20"/>
                </w:rPr>
                <w:id w:val="1456145544"/>
                <w14:checkbox>
                  <w14:checked w14:val="1"/>
                  <w14:checkedState w14:val="2612" w14:font="MS Gothic"/>
                  <w14:uncheckedState w14:val="2610" w14:font="MS Gothic"/>
                </w14:checkbox>
              </w:sdtPr>
              <w:sdtEndPr/>
              <w:sdtContent>
                <w:r w:rsidR="00EA3F50">
                  <w:rPr>
                    <w:rFonts w:ascii="MS Gothic" w:eastAsia="MS Gothic" w:hAnsi="MS Gothic" w:cs="Arial" w:hint="eastAsia"/>
                    <w:sz w:val="20"/>
                    <w:szCs w:val="20"/>
                  </w:rPr>
                  <w:t>☒</w:t>
                </w:r>
              </w:sdtContent>
            </w:sdt>
            <w:r w:rsidR="00855650" w:rsidRPr="00360490">
              <w:rPr>
                <w:rFonts w:ascii="Arial" w:hAnsi="Arial" w:cs="Arial"/>
                <w:sz w:val="20"/>
                <w:szCs w:val="20"/>
              </w:rPr>
              <w:t xml:space="preserve">Other countries </w:t>
            </w:r>
            <w:r w:rsidR="00855650" w:rsidRPr="00360490">
              <w:rPr>
                <w:rFonts w:ascii="Arial" w:hAnsi="Arial" w:cs="Arial"/>
                <w:i/>
                <w:sz w:val="20"/>
                <w:szCs w:val="20"/>
              </w:rPr>
              <w:t>(please specify)</w:t>
            </w:r>
          </w:p>
          <w:p w14:paraId="62699964" w14:textId="5CBF99CB" w:rsidR="009876C6" w:rsidRDefault="009876C6" w:rsidP="00855650">
            <w:pPr>
              <w:autoSpaceDE w:val="0"/>
              <w:autoSpaceDN w:val="0"/>
              <w:adjustRightInd w:val="0"/>
              <w:jc w:val="both"/>
              <w:rPr>
                <w:rFonts w:ascii="Arial" w:hAnsi="Arial" w:cs="Arial"/>
                <w:i/>
                <w:sz w:val="20"/>
                <w:szCs w:val="20"/>
              </w:rPr>
            </w:pPr>
          </w:p>
          <w:p w14:paraId="7336AE8E" w14:textId="2871BDCF" w:rsidR="009876C6" w:rsidRDefault="009876C6" w:rsidP="009876C6">
            <w:pPr>
              <w:autoSpaceDE w:val="0"/>
              <w:autoSpaceDN w:val="0"/>
              <w:adjustRightInd w:val="0"/>
              <w:jc w:val="both"/>
              <w:rPr>
                <w:rFonts w:ascii="Arial" w:hAnsi="Arial" w:cs="Arial"/>
                <w:i/>
                <w:sz w:val="20"/>
                <w:szCs w:val="20"/>
              </w:rPr>
            </w:pPr>
            <w:r>
              <w:rPr>
                <w:rFonts w:ascii="Arial" w:hAnsi="Arial" w:cs="Arial"/>
                <w:sz w:val="20"/>
                <w:szCs w:val="20"/>
              </w:rPr>
              <w:t xml:space="preserve">The Implementing Partner shall propose which particular geography it would want to target to ensure complementarity with its existing product range and additionality under InvestEU. </w:t>
            </w:r>
          </w:p>
          <w:p w14:paraId="6FA75078" w14:textId="2210D7A9" w:rsidR="00855650" w:rsidRPr="00360490" w:rsidRDefault="00855650" w:rsidP="00855650">
            <w:pPr>
              <w:autoSpaceDE w:val="0"/>
              <w:autoSpaceDN w:val="0"/>
              <w:adjustRightInd w:val="0"/>
              <w:jc w:val="both"/>
              <w:rPr>
                <w:rFonts w:ascii="Arial" w:hAnsi="Arial" w:cs="Arial"/>
                <w:i/>
                <w:sz w:val="20"/>
                <w:szCs w:val="20"/>
              </w:rPr>
            </w:pPr>
          </w:p>
        </w:tc>
      </w:tr>
      <w:tr w:rsidR="00855650" w:rsidRPr="00360490" w14:paraId="33852D1E" w14:textId="77777777" w:rsidTr="0096145F">
        <w:tc>
          <w:tcPr>
            <w:tcW w:w="819" w:type="dxa"/>
          </w:tcPr>
          <w:p w14:paraId="3F18C4ED" w14:textId="51CC77A1" w:rsidR="00855650" w:rsidRPr="00360490" w:rsidRDefault="00277075" w:rsidP="00855650">
            <w:pPr>
              <w:rPr>
                <w:rFonts w:ascii="Arial" w:hAnsi="Arial"/>
                <w:b/>
                <w:sz w:val="20"/>
                <w:szCs w:val="20"/>
              </w:rPr>
            </w:pPr>
            <w:r w:rsidRPr="00360490">
              <w:rPr>
                <w:rFonts w:ascii="Arial" w:hAnsi="Arial"/>
                <w:b/>
                <w:sz w:val="20"/>
                <w:szCs w:val="20"/>
              </w:rPr>
              <w:t>9</w:t>
            </w:r>
            <w:r w:rsidR="00855650" w:rsidRPr="00360490">
              <w:rPr>
                <w:rFonts w:ascii="Arial" w:hAnsi="Arial"/>
                <w:b/>
                <w:sz w:val="20"/>
                <w:szCs w:val="20"/>
              </w:rPr>
              <w:t>.</w:t>
            </w:r>
          </w:p>
        </w:tc>
        <w:tc>
          <w:tcPr>
            <w:tcW w:w="2287" w:type="dxa"/>
          </w:tcPr>
          <w:p w14:paraId="3447850D" w14:textId="7AF0B554" w:rsidR="00855650" w:rsidRPr="00360490" w:rsidRDefault="00523923" w:rsidP="00855650">
            <w:pPr>
              <w:rPr>
                <w:rFonts w:ascii="Arial" w:hAnsi="Arial"/>
                <w:b/>
                <w:sz w:val="20"/>
                <w:szCs w:val="20"/>
              </w:rPr>
            </w:pPr>
            <w:r>
              <w:rPr>
                <w:rFonts w:ascii="Arial" w:hAnsi="Arial"/>
                <w:b/>
                <w:sz w:val="20"/>
                <w:szCs w:val="20"/>
              </w:rPr>
              <w:t>Implementation period</w:t>
            </w:r>
          </w:p>
        </w:tc>
        <w:tc>
          <w:tcPr>
            <w:tcW w:w="7208" w:type="dxa"/>
          </w:tcPr>
          <w:p w14:paraId="03AE0415" w14:textId="77777777" w:rsidR="00523923" w:rsidRPr="002E2899" w:rsidRDefault="00523923" w:rsidP="00523923">
            <w:pPr>
              <w:autoSpaceDE w:val="0"/>
              <w:autoSpaceDN w:val="0"/>
              <w:adjustRightInd w:val="0"/>
              <w:rPr>
                <w:rFonts w:ascii="Arial" w:hAnsi="Arial" w:cs="Arial"/>
                <w:sz w:val="20"/>
                <w:szCs w:val="20"/>
              </w:rPr>
            </w:pPr>
            <w:r w:rsidRPr="00A97233">
              <w:rPr>
                <w:rFonts w:ascii="Arial" w:hAnsi="Arial" w:cs="Arial"/>
                <w:sz w:val="20"/>
                <w:szCs w:val="20"/>
              </w:rPr>
              <w:t>In line with Article 10(2) of the InvestEU Regulation, implementation period of the financing or investment operations under the</w:t>
            </w:r>
            <w:r w:rsidRPr="002E2899">
              <w:rPr>
                <w:rFonts w:ascii="Arial" w:hAnsi="Arial" w:cs="Arial"/>
                <w:sz w:val="20"/>
                <w:szCs w:val="20"/>
              </w:rPr>
              <w:t xml:space="preserve"> </w:t>
            </w:r>
            <w:r>
              <w:rPr>
                <w:rFonts w:ascii="Arial" w:hAnsi="Arial" w:cs="Arial"/>
                <w:sz w:val="20"/>
                <w:szCs w:val="20"/>
              </w:rPr>
              <w:t xml:space="preserve">financial </w:t>
            </w:r>
            <w:r w:rsidRPr="002E2899">
              <w:rPr>
                <w:rFonts w:ascii="Arial" w:hAnsi="Arial" w:cs="Arial"/>
                <w:sz w:val="20"/>
                <w:szCs w:val="20"/>
              </w:rPr>
              <w:t>product:</w:t>
            </w:r>
          </w:p>
          <w:p w14:paraId="45DF3BA5" w14:textId="77777777" w:rsidR="00523923" w:rsidRPr="002E2899" w:rsidRDefault="00523923" w:rsidP="00523923">
            <w:pPr>
              <w:autoSpaceDE w:val="0"/>
              <w:autoSpaceDN w:val="0"/>
              <w:adjustRightInd w:val="0"/>
              <w:rPr>
                <w:rFonts w:ascii="Arial" w:hAnsi="Arial" w:cs="Arial"/>
                <w:sz w:val="20"/>
                <w:szCs w:val="20"/>
              </w:rPr>
            </w:pPr>
            <w:r w:rsidRPr="002E2899">
              <w:rPr>
                <w:rFonts w:ascii="Arial" w:hAnsi="Arial" w:cs="Arial"/>
                <w:sz w:val="20"/>
                <w:szCs w:val="20"/>
              </w:rPr>
              <w:t>Approval: until 31 December 2027</w:t>
            </w:r>
          </w:p>
          <w:p w14:paraId="36C80C1B" w14:textId="2000149E" w:rsidR="007F4B1B" w:rsidRPr="00360490" w:rsidRDefault="00523923" w:rsidP="00523923">
            <w:pPr>
              <w:autoSpaceDE w:val="0"/>
              <w:autoSpaceDN w:val="0"/>
              <w:adjustRightInd w:val="0"/>
              <w:jc w:val="both"/>
              <w:rPr>
                <w:rFonts w:ascii="Arial" w:hAnsi="Arial" w:cs="Arial"/>
                <w:i/>
                <w:sz w:val="20"/>
                <w:szCs w:val="20"/>
              </w:rPr>
            </w:pPr>
            <w:r w:rsidRPr="002E2899">
              <w:rPr>
                <w:rFonts w:ascii="Arial" w:hAnsi="Arial" w:cs="Arial"/>
                <w:sz w:val="20"/>
                <w:szCs w:val="20"/>
              </w:rPr>
              <w:t>Signature: until 31 December 2028</w:t>
            </w:r>
          </w:p>
        </w:tc>
      </w:tr>
      <w:tr w:rsidR="00855650" w:rsidRPr="00360490" w14:paraId="6FA7508A" w14:textId="77777777" w:rsidTr="0096145F">
        <w:tc>
          <w:tcPr>
            <w:tcW w:w="819" w:type="dxa"/>
          </w:tcPr>
          <w:p w14:paraId="6FA75084" w14:textId="2EDDA9E2" w:rsidR="00855650" w:rsidRPr="00360490" w:rsidRDefault="009876C6" w:rsidP="00855650">
            <w:pPr>
              <w:rPr>
                <w:rFonts w:ascii="Arial" w:hAnsi="Arial"/>
                <w:b/>
                <w:sz w:val="20"/>
                <w:szCs w:val="20"/>
              </w:rPr>
            </w:pPr>
            <w:r>
              <w:rPr>
                <w:rFonts w:ascii="Arial" w:hAnsi="Arial"/>
                <w:b/>
                <w:sz w:val="20"/>
                <w:szCs w:val="20"/>
              </w:rPr>
              <w:lastRenderedPageBreak/>
              <w:t>10</w:t>
            </w:r>
            <w:r w:rsidR="00855650" w:rsidRPr="00360490">
              <w:rPr>
                <w:rFonts w:ascii="Arial" w:hAnsi="Arial"/>
                <w:b/>
                <w:sz w:val="20"/>
                <w:szCs w:val="20"/>
              </w:rPr>
              <w:t>.</w:t>
            </w:r>
          </w:p>
        </w:tc>
        <w:tc>
          <w:tcPr>
            <w:tcW w:w="2287" w:type="dxa"/>
          </w:tcPr>
          <w:p w14:paraId="6FA75085" w14:textId="273CAB82" w:rsidR="00855650" w:rsidRPr="00360490" w:rsidRDefault="00855650" w:rsidP="00855650">
            <w:pPr>
              <w:rPr>
                <w:rFonts w:ascii="Arial" w:hAnsi="Arial"/>
                <w:b/>
                <w:sz w:val="20"/>
                <w:szCs w:val="20"/>
              </w:rPr>
            </w:pPr>
            <w:r w:rsidRPr="00360490">
              <w:rPr>
                <w:rFonts w:ascii="Arial" w:hAnsi="Arial"/>
                <w:b/>
                <w:sz w:val="20"/>
                <w:szCs w:val="20"/>
              </w:rPr>
              <w:t>Type of financing</w:t>
            </w:r>
          </w:p>
        </w:tc>
        <w:tc>
          <w:tcPr>
            <w:tcW w:w="7208" w:type="dxa"/>
          </w:tcPr>
          <w:p w14:paraId="6FA75086" w14:textId="189A4111" w:rsidR="00855650" w:rsidRPr="00360490" w:rsidRDefault="009122DD" w:rsidP="00855650">
            <w:pPr>
              <w:autoSpaceDE w:val="0"/>
              <w:autoSpaceDN w:val="0"/>
              <w:adjustRightInd w:val="0"/>
              <w:jc w:val="both"/>
              <w:rPr>
                <w:rFonts w:ascii="Arial" w:hAnsi="Arial" w:cs="Arial"/>
                <w:sz w:val="20"/>
                <w:szCs w:val="20"/>
              </w:rPr>
            </w:pPr>
            <w:sdt>
              <w:sdtPr>
                <w:rPr>
                  <w:rFonts w:ascii="Arial" w:hAnsi="Arial" w:cs="Arial"/>
                  <w:sz w:val="20"/>
                  <w:szCs w:val="20"/>
                </w:rPr>
                <w:id w:val="-1214803119"/>
                <w14:checkbox>
                  <w14:checked w14:val="1"/>
                  <w14:checkedState w14:val="2612" w14:font="MS Gothic"/>
                  <w14:uncheckedState w14:val="2610" w14:font="MS Gothic"/>
                </w14:checkbox>
              </w:sdtPr>
              <w:sdtEndPr/>
              <w:sdtContent>
                <w:r w:rsidR="00EA3F50">
                  <w:rPr>
                    <w:rFonts w:ascii="MS Gothic" w:eastAsia="MS Gothic" w:hAnsi="MS Gothic" w:cs="Arial" w:hint="eastAsia"/>
                    <w:sz w:val="20"/>
                    <w:szCs w:val="20"/>
                  </w:rPr>
                  <w:t>☒</w:t>
                </w:r>
              </w:sdtContent>
            </w:sdt>
            <w:r w:rsidR="00855650" w:rsidRPr="00360490">
              <w:rPr>
                <w:rFonts w:ascii="Arial" w:hAnsi="Arial" w:cs="Arial"/>
                <w:sz w:val="20"/>
                <w:szCs w:val="20"/>
              </w:rPr>
              <w:t>Direct financing (</w:t>
            </w:r>
            <w:r w:rsidR="00855650" w:rsidRPr="00360490">
              <w:rPr>
                <w:rFonts w:ascii="Arial" w:hAnsi="Arial" w:cs="Arial"/>
                <w:i/>
                <w:sz w:val="20"/>
                <w:szCs w:val="20"/>
              </w:rPr>
              <w:t xml:space="preserve">including co-investments) of Targeted Recipients </w:t>
            </w:r>
            <w:r w:rsidR="00855650" w:rsidRPr="00360490">
              <w:rPr>
                <w:rFonts w:ascii="Arial" w:hAnsi="Arial" w:cs="Arial"/>
                <w:sz w:val="20"/>
                <w:szCs w:val="20"/>
              </w:rPr>
              <w:t xml:space="preserve">by Implementing Partners </w:t>
            </w:r>
          </w:p>
          <w:p w14:paraId="6FA75087" w14:textId="4F63B711" w:rsidR="00855650" w:rsidRPr="00360490" w:rsidRDefault="009122DD" w:rsidP="00855650">
            <w:pPr>
              <w:autoSpaceDE w:val="0"/>
              <w:autoSpaceDN w:val="0"/>
              <w:adjustRightInd w:val="0"/>
              <w:jc w:val="both"/>
              <w:rPr>
                <w:rFonts w:ascii="Arial" w:hAnsi="Arial" w:cs="Arial"/>
                <w:sz w:val="20"/>
                <w:szCs w:val="20"/>
              </w:rPr>
            </w:pPr>
            <w:sdt>
              <w:sdtPr>
                <w:rPr>
                  <w:rFonts w:ascii="Arial" w:hAnsi="Arial" w:cs="Arial"/>
                  <w:sz w:val="20"/>
                  <w:szCs w:val="20"/>
                </w:rPr>
                <w:id w:val="-268234105"/>
                <w14:checkbox>
                  <w14:checked w14:val="0"/>
                  <w14:checkedState w14:val="2612" w14:font="MS Gothic"/>
                  <w14:uncheckedState w14:val="2610" w14:font="MS Gothic"/>
                </w14:checkbox>
              </w:sdtPr>
              <w:sdtEndPr/>
              <w:sdtContent>
                <w:r w:rsidR="006C26D4">
                  <w:rPr>
                    <w:rFonts w:ascii="MS Gothic" w:eastAsia="MS Gothic" w:hAnsi="MS Gothic" w:cs="Arial" w:hint="eastAsia"/>
                    <w:sz w:val="20"/>
                    <w:szCs w:val="20"/>
                  </w:rPr>
                  <w:t>☐</w:t>
                </w:r>
              </w:sdtContent>
            </w:sdt>
            <w:r w:rsidR="00855650" w:rsidRPr="00360490">
              <w:rPr>
                <w:rFonts w:ascii="Arial" w:hAnsi="Arial" w:cs="Arial"/>
                <w:sz w:val="20"/>
                <w:szCs w:val="20"/>
              </w:rPr>
              <w:t>Intermediated financing through Financial Intermediaries</w:t>
            </w:r>
          </w:p>
          <w:p w14:paraId="6FA75089" w14:textId="17EDEC17" w:rsidR="00855650" w:rsidRPr="00360490" w:rsidRDefault="00855650" w:rsidP="00EA3F50">
            <w:pPr>
              <w:autoSpaceDE w:val="0"/>
              <w:autoSpaceDN w:val="0"/>
              <w:adjustRightInd w:val="0"/>
              <w:jc w:val="both"/>
              <w:rPr>
                <w:rFonts w:ascii="Arial" w:hAnsi="Arial" w:cs="Arial"/>
                <w:i/>
                <w:sz w:val="20"/>
                <w:szCs w:val="20"/>
              </w:rPr>
            </w:pPr>
          </w:p>
        </w:tc>
      </w:tr>
      <w:tr w:rsidR="00855650" w:rsidRPr="00360490" w14:paraId="2CD98EAA" w14:textId="77777777" w:rsidTr="0096145F">
        <w:tc>
          <w:tcPr>
            <w:tcW w:w="819" w:type="dxa"/>
          </w:tcPr>
          <w:p w14:paraId="642363A6" w14:textId="682A500D" w:rsidR="00855650" w:rsidRPr="00360490" w:rsidRDefault="00277075" w:rsidP="00855650">
            <w:pPr>
              <w:rPr>
                <w:rFonts w:ascii="Arial" w:hAnsi="Arial"/>
                <w:b/>
                <w:sz w:val="20"/>
                <w:szCs w:val="20"/>
              </w:rPr>
            </w:pPr>
            <w:r w:rsidRPr="00360490">
              <w:rPr>
                <w:rFonts w:ascii="Arial" w:hAnsi="Arial"/>
                <w:b/>
                <w:sz w:val="20"/>
                <w:szCs w:val="20"/>
              </w:rPr>
              <w:t>10</w:t>
            </w:r>
            <w:r w:rsidR="00855650" w:rsidRPr="00360490">
              <w:rPr>
                <w:rFonts w:ascii="Arial" w:hAnsi="Arial"/>
                <w:b/>
                <w:sz w:val="20"/>
                <w:szCs w:val="20"/>
              </w:rPr>
              <w:t>.a</w:t>
            </w:r>
          </w:p>
        </w:tc>
        <w:tc>
          <w:tcPr>
            <w:tcW w:w="2287" w:type="dxa"/>
          </w:tcPr>
          <w:p w14:paraId="3CB2B8DD" w14:textId="536865D7" w:rsidR="00855650" w:rsidRPr="00360490" w:rsidRDefault="00855650" w:rsidP="00855650">
            <w:pPr>
              <w:rPr>
                <w:rFonts w:ascii="Arial" w:hAnsi="Arial"/>
                <w:b/>
                <w:sz w:val="20"/>
                <w:szCs w:val="20"/>
              </w:rPr>
            </w:pPr>
            <w:r w:rsidRPr="00360490">
              <w:rPr>
                <w:rFonts w:ascii="Arial" w:hAnsi="Arial"/>
                <w:b/>
                <w:sz w:val="20"/>
                <w:szCs w:val="20"/>
              </w:rPr>
              <w:t xml:space="preserve">Eligible Financial Intermediaries </w:t>
            </w:r>
            <w:r w:rsidRPr="00360490">
              <w:rPr>
                <w:rFonts w:ascii="Arial" w:hAnsi="Arial" w:cs="Arial"/>
                <w:i/>
                <w:sz w:val="20"/>
                <w:szCs w:val="20"/>
              </w:rPr>
              <w:t>(if applicable)</w:t>
            </w:r>
          </w:p>
        </w:tc>
        <w:tc>
          <w:tcPr>
            <w:tcW w:w="7208" w:type="dxa"/>
          </w:tcPr>
          <w:p w14:paraId="2F6ABCCB" w14:textId="413CD265" w:rsidR="00855650" w:rsidRPr="009876C6" w:rsidRDefault="006C26D4" w:rsidP="00855650">
            <w:pPr>
              <w:autoSpaceDE w:val="0"/>
              <w:autoSpaceDN w:val="0"/>
              <w:adjustRightInd w:val="0"/>
              <w:jc w:val="both"/>
              <w:rPr>
                <w:rFonts w:ascii="Arial" w:hAnsi="Arial" w:cs="Arial"/>
                <w:sz w:val="20"/>
                <w:szCs w:val="20"/>
              </w:rPr>
            </w:pPr>
            <w:r w:rsidRPr="009876C6">
              <w:rPr>
                <w:rFonts w:ascii="Arial" w:hAnsi="Arial" w:cs="Arial"/>
                <w:sz w:val="20"/>
                <w:szCs w:val="20"/>
              </w:rPr>
              <w:t>N/A</w:t>
            </w:r>
          </w:p>
        </w:tc>
      </w:tr>
      <w:tr w:rsidR="00855650" w:rsidRPr="00360490" w14:paraId="064DAFF1" w14:textId="77777777" w:rsidTr="0096145F">
        <w:tc>
          <w:tcPr>
            <w:tcW w:w="819" w:type="dxa"/>
          </w:tcPr>
          <w:p w14:paraId="015518BA" w14:textId="163B51D3" w:rsidR="00855650" w:rsidRPr="00360490" w:rsidRDefault="00277075" w:rsidP="00855650">
            <w:pPr>
              <w:rPr>
                <w:rFonts w:ascii="Arial" w:hAnsi="Arial"/>
                <w:b/>
                <w:sz w:val="20"/>
                <w:szCs w:val="20"/>
              </w:rPr>
            </w:pPr>
            <w:r w:rsidRPr="00360490">
              <w:rPr>
                <w:rFonts w:ascii="Arial" w:hAnsi="Arial"/>
                <w:b/>
                <w:sz w:val="20"/>
                <w:szCs w:val="20"/>
              </w:rPr>
              <w:t>10</w:t>
            </w:r>
            <w:r w:rsidR="00855650" w:rsidRPr="00360490">
              <w:rPr>
                <w:rFonts w:ascii="Arial" w:hAnsi="Arial"/>
                <w:b/>
                <w:sz w:val="20"/>
                <w:szCs w:val="20"/>
              </w:rPr>
              <w:t>.b</w:t>
            </w:r>
          </w:p>
        </w:tc>
        <w:tc>
          <w:tcPr>
            <w:tcW w:w="2287" w:type="dxa"/>
          </w:tcPr>
          <w:p w14:paraId="38A23B29" w14:textId="6C1FF46D" w:rsidR="00855650" w:rsidRPr="00360490" w:rsidRDefault="00855650" w:rsidP="00855650">
            <w:pPr>
              <w:rPr>
                <w:rFonts w:ascii="Arial" w:hAnsi="Arial"/>
                <w:b/>
                <w:sz w:val="20"/>
                <w:szCs w:val="20"/>
              </w:rPr>
            </w:pPr>
            <w:r w:rsidRPr="00360490">
              <w:rPr>
                <w:rFonts w:ascii="Arial" w:hAnsi="Arial"/>
                <w:b/>
                <w:sz w:val="20"/>
                <w:szCs w:val="20"/>
              </w:rPr>
              <w:t>Financial Intermediaries’ Financial Needs</w:t>
            </w:r>
            <w:r w:rsidR="00A12B8D" w:rsidRPr="00360490">
              <w:rPr>
                <w:rFonts w:ascii="Arial" w:hAnsi="Arial"/>
                <w:b/>
                <w:sz w:val="20"/>
                <w:szCs w:val="20"/>
              </w:rPr>
              <w:t xml:space="preserve"> </w:t>
            </w:r>
            <w:r w:rsidR="00A12B8D" w:rsidRPr="00360490">
              <w:rPr>
                <w:rFonts w:ascii="Arial" w:hAnsi="Arial"/>
                <w:i/>
                <w:sz w:val="20"/>
                <w:szCs w:val="20"/>
              </w:rPr>
              <w:t>(if applicable)</w:t>
            </w:r>
          </w:p>
        </w:tc>
        <w:tc>
          <w:tcPr>
            <w:tcW w:w="7208" w:type="dxa"/>
          </w:tcPr>
          <w:p w14:paraId="5129D0EE" w14:textId="6E3569D0" w:rsidR="00855650" w:rsidRPr="009876C6" w:rsidRDefault="009876C6" w:rsidP="00855650">
            <w:pPr>
              <w:tabs>
                <w:tab w:val="left" w:pos="3330"/>
              </w:tabs>
              <w:autoSpaceDE w:val="0"/>
              <w:autoSpaceDN w:val="0"/>
              <w:adjustRightInd w:val="0"/>
              <w:jc w:val="both"/>
              <w:rPr>
                <w:rFonts w:ascii="Arial" w:hAnsi="Arial" w:cs="Arial"/>
                <w:sz w:val="20"/>
                <w:szCs w:val="20"/>
              </w:rPr>
            </w:pPr>
            <w:r w:rsidRPr="009876C6">
              <w:rPr>
                <w:rFonts w:ascii="Arial" w:hAnsi="Arial" w:cs="Arial"/>
                <w:sz w:val="20"/>
                <w:szCs w:val="20"/>
              </w:rPr>
              <w:t>N/A</w:t>
            </w:r>
          </w:p>
          <w:p w14:paraId="3DA21B85" w14:textId="77777777" w:rsidR="00855650" w:rsidRPr="009876C6" w:rsidRDefault="00855650" w:rsidP="00855650">
            <w:pPr>
              <w:autoSpaceDE w:val="0"/>
              <w:autoSpaceDN w:val="0"/>
              <w:adjustRightInd w:val="0"/>
              <w:jc w:val="both"/>
              <w:rPr>
                <w:rFonts w:ascii="Arial" w:hAnsi="Arial" w:cs="Arial"/>
                <w:sz w:val="20"/>
                <w:szCs w:val="20"/>
              </w:rPr>
            </w:pPr>
          </w:p>
          <w:p w14:paraId="42C47873" w14:textId="55F79C26" w:rsidR="006C26D4" w:rsidRPr="009876C6" w:rsidRDefault="006C26D4" w:rsidP="00855650">
            <w:pPr>
              <w:autoSpaceDE w:val="0"/>
              <w:autoSpaceDN w:val="0"/>
              <w:adjustRightInd w:val="0"/>
              <w:jc w:val="both"/>
              <w:rPr>
                <w:rFonts w:ascii="Arial" w:hAnsi="Arial" w:cs="Arial"/>
                <w:sz w:val="20"/>
                <w:szCs w:val="20"/>
              </w:rPr>
            </w:pPr>
            <w:r w:rsidRPr="009876C6">
              <w:rPr>
                <w:rFonts w:ascii="Arial" w:hAnsi="Arial" w:cs="Arial"/>
                <w:sz w:val="20"/>
                <w:szCs w:val="20"/>
              </w:rPr>
              <w:t>N/A</w:t>
            </w:r>
          </w:p>
        </w:tc>
      </w:tr>
      <w:tr w:rsidR="00855650" w:rsidRPr="00360490" w14:paraId="23092685" w14:textId="77777777" w:rsidTr="0096145F">
        <w:tc>
          <w:tcPr>
            <w:tcW w:w="819" w:type="dxa"/>
          </w:tcPr>
          <w:p w14:paraId="7F1E43B2" w14:textId="6FD11FA0" w:rsidR="00855650" w:rsidRPr="00360490" w:rsidRDefault="00277075" w:rsidP="00855650">
            <w:pPr>
              <w:rPr>
                <w:rFonts w:ascii="Arial" w:hAnsi="Arial"/>
                <w:b/>
                <w:sz w:val="20"/>
                <w:szCs w:val="20"/>
              </w:rPr>
            </w:pPr>
            <w:r w:rsidRPr="00360490">
              <w:rPr>
                <w:rFonts w:ascii="Arial" w:hAnsi="Arial"/>
                <w:b/>
                <w:sz w:val="20"/>
                <w:szCs w:val="20"/>
              </w:rPr>
              <w:t>10</w:t>
            </w:r>
            <w:r w:rsidR="00855650" w:rsidRPr="00360490">
              <w:rPr>
                <w:rFonts w:ascii="Arial" w:hAnsi="Arial"/>
                <w:b/>
                <w:sz w:val="20"/>
                <w:szCs w:val="20"/>
              </w:rPr>
              <w:t>.c</w:t>
            </w:r>
          </w:p>
        </w:tc>
        <w:tc>
          <w:tcPr>
            <w:tcW w:w="2287" w:type="dxa"/>
          </w:tcPr>
          <w:p w14:paraId="471804EA" w14:textId="7E70D20C" w:rsidR="00855650" w:rsidRPr="00360490" w:rsidRDefault="00855650" w:rsidP="00855650">
            <w:pPr>
              <w:rPr>
                <w:rFonts w:ascii="Arial" w:hAnsi="Arial"/>
                <w:b/>
                <w:sz w:val="20"/>
                <w:szCs w:val="20"/>
              </w:rPr>
            </w:pPr>
            <w:r w:rsidRPr="00360490">
              <w:rPr>
                <w:rFonts w:ascii="Arial" w:hAnsi="Arial"/>
                <w:b/>
                <w:sz w:val="20"/>
                <w:szCs w:val="20"/>
              </w:rPr>
              <w:t xml:space="preserve">Type of product provided by the Implementing Partner to the Financial Intermediary </w:t>
            </w:r>
            <w:r w:rsidRPr="00360490">
              <w:rPr>
                <w:rFonts w:ascii="Arial" w:hAnsi="Arial"/>
                <w:i/>
                <w:sz w:val="20"/>
                <w:szCs w:val="20"/>
              </w:rPr>
              <w:t>(if applicable)</w:t>
            </w:r>
          </w:p>
        </w:tc>
        <w:tc>
          <w:tcPr>
            <w:tcW w:w="7208" w:type="dxa"/>
          </w:tcPr>
          <w:p w14:paraId="7F816B95" w14:textId="202094F6" w:rsidR="006C26D4" w:rsidRPr="00360490" w:rsidRDefault="009876C6" w:rsidP="00855650">
            <w:pPr>
              <w:tabs>
                <w:tab w:val="left" w:pos="3330"/>
              </w:tabs>
              <w:autoSpaceDE w:val="0"/>
              <w:autoSpaceDN w:val="0"/>
              <w:adjustRightInd w:val="0"/>
              <w:jc w:val="both"/>
              <w:rPr>
                <w:rFonts w:ascii="Arial" w:hAnsi="Arial" w:cs="Arial"/>
                <w:sz w:val="20"/>
                <w:szCs w:val="20"/>
              </w:rPr>
            </w:pPr>
            <w:r>
              <w:rPr>
                <w:rFonts w:ascii="Arial" w:hAnsi="Arial" w:cs="Arial"/>
                <w:sz w:val="20"/>
                <w:szCs w:val="20"/>
              </w:rPr>
              <w:t>N/A</w:t>
            </w:r>
          </w:p>
        </w:tc>
      </w:tr>
      <w:tr w:rsidR="00EE21E5" w:rsidRPr="00360490" w14:paraId="2EA80963" w14:textId="77777777" w:rsidTr="0096145F">
        <w:tc>
          <w:tcPr>
            <w:tcW w:w="819" w:type="dxa"/>
          </w:tcPr>
          <w:p w14:paraId="195DC117" w14:textId="4ACE8B11" w:rsidR="00EE21E5" w:rsidRPr="00360490" w:rsidRDefault="00EE21E5" w:rsidP="00EE21E5">
            <w:pPr>
              <w:rPr>
                <w:rFonts w:ascii="Arial" w:hAnsi="Arial"/>
                <w:b/>
                <w:sz w:val="20"/>
                <w:szCs w:val="20"/>
              </w:rPr>
            </w:pPr>
            <w:r w:rsidRPr="00301A2F">
              <w:rPr>
                <w:rFonts w:ascii="Arial" w:hAnsi="Arial"/>
                <w:b/>
                <w:sz w:val="20"/>
                <w:szCs w:val="20"/>
              </w:rPr>
              <w:t>10.d</w:t>
            </w:r>
          </w:p>
        </w:tc>
        <w:tc>
          <w:tcPr>
            <w:tcW w:w="2287" w:type="dxa"/>
          </w:tcPr>
          <w:p w14:paraId="70B9DC18" w14:textId="77777777" w:rsidR="00EE21E5" w:rsidRPr="00301A2F" w:rsidRDefault="00EE21E5" w:rsidP="00EE21E5">
            <w:pPr>
              <w:rPr>
                <w:rFonts w:ascii="Arial" w:hAnsi="Arial"/>
                <w:b/>
                <w:sz w:val="20"/>
                <w:szCs w:val="20"/>
              </w:rPr>
            </w:pPr>
            <w:r w:rsidRPr="00301A2F">
              <w:rPr>
                <w:rFonts w:ascii="Arial" w:hAnsi="Arial"/>
                <w:b/>
                <w:sz w:val="20"/>
                <w:szCs w:val="20"/>
              </w:rPr>
              <w:t xml:space="preserve">Type of product provided by the Financial Intermediary to Final Recipients </w:t>
            </w:r>
          </w:p>
          <w:p w14:paraId="3CC55317" w14:textId="253D8B84" w:rsidR="00EE21E5" w:rsidRPr="00360490" w:rsidRDefault="00EE21E5" w:rsidP="00EE21E5">
            <w:pPr>
              <w:rPr>
                <w:rFonts w:ascii="Arial" w:hAnsi="Arial"/>
                <w:b/>
                <w:sz w:val="20"/>
                <w:szCs w:val="20"/>
              </w:rPr>
            </w:pPr>
            <w:r w:rsidRPr="00301A2F">
              <w:rPr>
                <w:rFonts w:ascii="Arial" w:hAnsi="Arial"/>
                <w:i/>
                <w:sz w:val="20"/>
                <w:szCs w:val="20"/>
              </w:rPr>
              <w:t>(if applicable)</w:t>
            </w:r>
          </w:p>
        </w:tc>
        <w:tc>
          <w:tcPr>
            <w:tcW w:w="7208" w:type="dxa"/>
          </w:tcPr>
          <w:p w14:paraId="79117AFC" w14:textId="6C69955B" w:rsidR="00EE21E5" w:rsidRDefault="009876C6" w:rsidP="00EE21E5">
            <w:pPr>
              <w:autoSpaceDE w:val="0"/>
              <w:autoSpaceDN w:val="0"/>
              <w:adjustRightInd w:val="0"/>
              <w:jc w:val="both"/>
              <w:rPr>
                <w:rFonts w:ascii="Arial" w:hAnsi="Arial" w:cs="Arial"/>
                <w:sz w:val="20"/>
                <w:szCs w:val="20"/>
              </w:rPr>
            </w:pPr>
            <w:r>
              <w:rPr>
                <w:rFonts w:ascii="Arial" w:hAnsi="Arial" w:cs="Arial"/>
                <w:sz w:val="20"/>
                <w:szCs w:val="20"/>
              </w:rPr>
              <w:t>N/A</w:t>
            </w:r>
          </w:p>
        </w:tc>
      </w:tr>
      <w:tr w:rsidR="00EE21E5" w:rsidRPr="00360490" w14:paraId="6FA75091" w14:textId="77777777" w:rsidTr="0096145F">
        <w:tc>
          <w:tcPr>
            <w:tcW w:w="819" w:type="dxa"/>
          </w:tcPr>
          <w:p w14:paraId="6FA7508B" w14:textId="2406EC1E" w:rsidR="00EE21E5" w:rsidRPr="00360490" w:rsidRDefault="00EE21E5" w:rsidP="00EE21E5">
            <w:pPr>
              <w:rPr>
                <w:rFonts w:ascii="Arial" w:hAnsi="Arial"/>
                <w:b/>
                <w:sz w:val="20"/>
                <w:szCs w:val="20"/>
              </w:rPr>
            </w:pPr>
            <w:r w:rsidRPr="00360490">
              <w:rPr>
                <w:rFonts w:ascii="Arial" w:hAnsi="Arial"/>
                <w:b/>
                <w:sz w:val="20"/>
                <w:szCs w:val="20"/>
              </w:rPr>
              <w:t>11.</w:t>
            </w:r>
          </w:p>
        </w:tc>
        <w:tc>
          <w:tcPr>
            <w:tcW w:w="2287" w:type="dxa"/>
          </w:tcPr>
          <w:p w14:paraId="4C3BB344" w14:textId="77777777" w:rsidR="00EE21E5" w:rsidRDefault="00EE21E5" w:rsidP="00EE21E5">
            <w:pPr>
              <w:rPr>
                <w:rFonts w:ascii="Arial" w:hAnsi="Arial"/>
                <w:b/>
                <w:sz w:val="20"/>
                <w:szCs w:val="20"/>
              </w:rPr>
            </w:pPr>
            <w:r>
              <w:rPr>
                <w:rFonts w:ascii="Arial" w:hAnsi="Arial"/>
                <w:b/>
                <w:sz w:val="20"/>
                <w:szCs w:val="20"/>
              </w:rPr>
              <w:t>Type of p</w:t>
            </w:r>
            <w:r w:rsidRPr="0064259A">
              <w:rPr>
                <w:rFonts w:ascii="Arial" w:hAnsi="Arial"/>
                <w:b/>
                <w:sz w:val="20"/>
                <w:szCs w:val="20"/>
              </w:rPr>
              <w:t xml:space="preserve">roduct </w:t>
            </w:r>
            <w:r>
              <w:rPr>
                <w:rFonts w:ascii="Arial" w:hAnsi="Arial"/>
                <w:b/>
                <w:sz w:val="20"/>
                <w:szCs w:val="20"/>
              </w:rPr>
              <w:t>p</w:t>
            </w:r>
            <w:r w:rsidRPr="0064259A">
              <w:rPr>
                <w:rFonts w:ascii="Arial" w:hAnsi="Arial"/>
                <w:b/>
                <w:sz w:val="20"/>
                <w:szCs w:val="20"/>
              </w:rPr>
              <w:t>rovided</w:t>
            </w:r>
            <w:r>
              <w:rPr>
                <w:rFonts w:ascii="Arial" w:hAnsi="Arial"/>
                <w:b/>
                <w:sz w:val="20"/>
                <w:szCs w:val="20"/>
              </w:rPr>
              <w:t xml:space="preserve"> by the Implementing Partner</w:t>
            </w:r>
            <w:r w:rsidRPr="0064259A">
              <w:rPr>
                <w:rFonts w:ascii="Arial" w:hAnsi="Arial"/>
                <w:b/>
                <w:sz w:val="20"/>
                <w:szCs w:val="20"/>
              </w:rPr>
              <w:t xml:space="preserve"> to Final Recipient</w:t>
            </w:r>
            <w:r>
              <w:rPr>
                <w:rFonts w:ascii="Arial" w:hAnsi="Arial"/>
                <w:b/>
                <w:sz w:val="20"/>
                <w:szCs w:val="20"/>
              </w:rPr>
              <w:t>s (direct financing)</w:t>
            </w:r>
          </w:p>
          <w:p w14:paraId="6FA7508C" w14:textId="29591344" w:rsidR="00EE21E5" w:rsidRPr="00360490" w:rsidRDefault="00EE21E5" w:rsidP="00EE21E5">
            <w:pPr>
              <w:rPr>
                <w:rFonts w:ascii="Arial" w:hAnsi="Arial"/>
                <w:b/>
                <w:sz w:val="20"/>
                <w:szCs w:val="20"/>
              </w:rPr>
            </w:pPr>
            <w:r w:rsidRPr="0064259A">
              <w:rPr>
                <w:rFonts w:ascii="Arial" w:hAnsi="Arial"/>
                <w:i/>
                <w:sz w:val="20"/>
                <w:szCs w:val="20"/>
              </w:rPr>
              <w:t>(if applicable)</w:t>
            </w:r>
          </w:p>
        </w:tc>
        <w:tc>
          <w:tcPr>
            <w:tcW w:w="7208" w:type="dxa"/>
          </w:tcPr>
          <w:p w14:paraId="6FA7508D" w14:textId="79D1C523" w:rsidR="00EE21E5" w:rsidRPr="00360490" w:rsidRDefault="009122DD" w:rsidP="00EE21E5">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1470897318"/>
                <w14:checkbox>
                  <w14:checked w14:val="0"/>
                  <w14:checkedState w14:val="2612" w14:font="MS Gothic"/>
                  <w14:uncheckedState w14:val="2610" w14:font="MS Gothic"/>
                </w14:checkbox>
              </w:sdtPr>
              <w:sdtEndPr/>
              <w:sdtContent>
                <w:r w:rsidR="00EE21E5">
                  <w:rPr>
                    <w:rFonts w:ascii="MS Gothic" w:eastAsia="MS Gothic" w:hAnsi="MS Gothic" w:cs="Arial" w:hint="eastAsia"/>
                    <w:sz w:val="20"/>
                    <w:szCs w:val="20"/>
                  </w:rPr>
                  <w:t>☐</w:t>
                </w:r>
              </w:sdtContent>
            </w:sdt>
            <w:r w:rsidR="00EE21E5" w:rsidRPr="00360490">
              <w:rPr>
                <w:rFonts w:ascii="Arial" w:hAnsi="Arial" w:cs="Arial"/>
                <w:sz w:val="20"/>
                <w:szCs w:val="20"/>
              </w:rPr>
              <w:t xml:space="preserve">Loan                                  </w:t>
            </w:r>
          </w:p>
          <w:p w14:paraId="18D4A4BE" w14:textId="262631F2" w:rsidR="00EE21E5" w:rsidRPr="00360490" w:rsidRDefault="009122DD" w:rsidP="00EE21E5">
            <w:pPr>
              <w:autoSpaceDE w:val="0"/>
              <w:autoSpaceDN w:val="0"/>
              <w:adjustRightInd w:val="0"/>
              <w:jc w:val="both"/>
              <w:rPr>
                <w:rFonts w:ascii="Arial" w:hAnsi="Arial" w:cs="Arial"/>
                <w:sz w:val="20"/>
                <w:szCs w:val="20"/>
              </w:rPr>
            </w:pPr>
            <w:sdt>
              <w:sdtPr>
                <w:rPr>
                  <w:rFonts w:ascii="Arial" w:hAnsi="Arial" w:cs="Arial"/>
                  <w:sz w:val="20"/>
                  <w:szCs w:val="20"/>
                </w:rPr>
                <w:id w:val="1392765383"/>
                <w14:checkbox>
                  <w14:checked w14:val="0"/>
                  <w14:checkedState w14:val="2612" w14:font="MS Gothic"/>
                  <w14:uncheckedState w14:val="2610" w14:font="MS Gothic"/>
                </w14:checkbox>
              </w:sdtPr>
              <w:sdtEndPr/>
              <w:sdtContent>
                <w:r w:rsidR="00EE21E5">
                  <w:rPr>
                    <w:rFonts w:ascii="MS Gothic" w:eastAsia="MS Gothic" w:hAnsi="MS Gothic" w:cs="Arial" w:hint="eastAsia"/>
                    <w:sz w:val="20"/>
                    <w:szCs w:val="20"/>
                  </w:rPr>
                  <w:t>☐</w:t>
                </w:r>
              </w:sdtContent>
            </w:sdt>
            <w:r w:rsidR="00EE21E5" w:rsidRPr="00360490">
              <w:rPr>
                <w:rFonts w:ascii="Arial" w:hAnsi="Arial" w:cs="Arial"/>
                <w:sz w:val="20"/>
                <w:szCs w:val="20"/>
              </w:rPr>
              <w:t>Guarantee</w:t>
            </w:r>
          </w:p>
          <w:p w14:paraId="430FA19C" w14:textId="756FC359" w:rsidR="00EE21E5" w:rsidRPr="00360490" w:rsidRDefault="009122DD" w:rsidP="00EE21E5">
            <w:pPr>
              <w:autoSpaceDE w:val="0"/>
              <w:autoSpaceDN w:val="0"/>
              <w:adjustRightInd w:val="0"/>
              <w:jc w:val="both"/>
              <w:rPr>
                <w:rFonts w:ascii="Arial" w:hAnsi="Arial" w:cs="Arial"/>
                <w:sz w:val="20"/>
                <w:szCs w:val="20"/>
              </w:rPr>
            </w:pPr>
            <w:sdt>
              <w:sdtPr>
                <w:rPr>
                  <w:rFonts w:ascii="Arial" w:hAnsi="Arial" w:cs="Arial"/>
                  <w:sz w:val="20"/>
                  <w:szCs w:val="20"/>
                </w:rPr>
                <w:id w:val="1465152861"/>
                <w14:checkbox>
                  <w14:checked w14:val="1"/>
                  <w14:checkedState w14:val="2612" w14:font="MS Gothic"/>
                  <w14:uncheckedState w14:val="2610" w14:font="MS Gothic"/>
                </w14:checkbox>
              </w:sdtPr>
              <w:sdtEndPr/>
              <w:sdtContent>
                <w:r w:rsidR="00EE21E5">
                  <w:rPr>
                    <w:rFonts w:ascii="MS Gothic" w:eastAsia="MS Gothic" w:hAnsi="MS Gothic" w:cs="Arial" w:hint="eastAsia"/>
                    <w:sz w:val="20"/>
                    <w:szCs w:val="20"/>
                  </w:rPr>
                  <w:t>☒</w:t>
                </w:r>
              </w:sdtContent>
            </w:sdt>
            <w:r w:rsidR="00EE21E5" w:rsidRPr="00360490">
              <w:rPr>
                <w:rFonts w:ascii="Arial" w:hAnsi="Arial" w:cs="Arial"/>
                <w:sz w:val="20"/>
                <w:szCs w:val="20"/>
              </w:rPr>
              <w:t>Equity</w:t>
            </w:r>
            <w:r w:rsidR="00EE21E5">
              <w:rPr>
                <w:rFonts w:ascii="Arial" w:hAnsi="Arial" w:cs="Arial"/>
                <w:sz w:val="20"/>
                <w:szCs w:val="20"/>
              </w:rPr>
              <w:t xml:space="preserve"> and quasi-equity (venture debt, hybrid financing)</w:t>
            </w:r>
          </w:p>
          <w:p w14:paraId="77B9B0AF" w14:textId="36BAF60B" w:rsidR="00EE21E5" w:rsidRPr="00360490" w:rsidRDefault="009122DD" w:rsidP="00EE21E5">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31662493"/>
                <w14:checkbox>
                  <w14:checked w14:val="0"/>
                  <w14:checkedState w14:val="2612" w14:font="MS Gothic"/>
                  <w14:uncheckedState w14:val="2610" w14:font="MS Gothic"/>
                </w14:checkbox>
              </w:sdtPr>
              <w:sdtEndPr/>
              <w:sdtContent>
                <w:r w:rsidR="00EE21E5">
                  <w:rPr>
                    <w:rFonts w:ascii="MS Gothic" w:eastAsia="MS Gothic" w:hAnsi="MS Gothic" w:cs="Arial" w:hint="eastAsia"/>
                    <w:sz w:val="20"/>
                    <w:szCs w:val="20"/>
                  </w:rPr>
                  <w:t>☐</w:t>
                </w:r>
              </w:sdtContent>
            </w:sdt>
            <w:r w:rsidR="00EE21E5" w:rsidRPr="00360490">
              <w:rPr>
                <w:rFonts w:ascii="Arial" w:hAnsi="Arial" w:cs="Arial"/>
                <w:sz w:val="20"/>
                <w:szCs w:val="20"/>
              </w:rPr>
              <w:t xml:space="preserve">Other </w:t>
            </w:r>
            <w:r w:rsidR="00EE21E5" w:rsidRPr="00360490">
              <w:rPr>
                <w:rFonts w:ascii="Arial" w:hAnsi="Arial" w:cs="Arial"/>
                <w:i/>
                <w:sz w:val="20"/>
                <w:szCs w:val="20"/>
              </w:rPr>
              <w:t>(please specify)</w:t>
            </w:r>
          </w:p>
          <w:p w14:paraId="194D7D7B" w14:textId="77777777" w:rsidR="00EE21E5" w:rsidRDefault="00EE21E5" w:rsidP="00EE21E5">
            <w:pPr>
              <w:autoSpaceDE w:val="0"/>
              <w:autoSpaceDN w:val="0"/>
              <w:adjustRightInd w:val="0"/>
              <w:jc w:val="both"/>
              <w:rPr>
                <w:rFonts w:ascii="Arial" w:hAnsi="Arial" w:cs="Arial"/>
                <w:sz w:val="20"/>
                <w:szCs w:val="20"/>
              </w:rPr>
            </w:pPr>
          </w:p>
          <w:p w14:paraId="6FA75090" w14:textId="3FA43336" w:rsidR="00EE21E5" w:rsidRPr="00F0219F" w:rsidRDefault="00EE21E5" w:rsidP="00EE21E5">
            <w:pPr>
              <w:autoSpaceDE w:val="0"/>
              <w:autoSpaceDN w:val="0"/>
              <w:adjustRightInd w:val="0"/>
              <w:jc w:val="both"/>
              <w:rPr>
                <w:rFonts w:ascii="Arial" w:hAnsi="Arial" w:cs="Arial"/>
                <w:sz w:val="20"/>
                <w:szCs w:val="20"/>
              </w:rPr>
            </w:pPr>
          </w:p>
        </w:tc>
      </w:tr>
      <w:tr w:rsidR="00EE21E5" w:rsidRPr="00360490" w14:paraId="098FFD3E" w14:textId="77777777" w:rsidTr="0096145F">
        <w:tc>
          <w:tcPr>
            <w:tcW w:w="819" w:type="dxa"/>
          </w:tcPr>
          <w:p w14:paraId="6DDDA26B" w14:textId="56074F4A" w:rsidR="00EE21E5" w:rsidRPr="00360490" w:rsidRDefault="00EE21E5" w:rsidP="00EE21E5">
            <w:pPr>
              <w:rPr>
                <w:rFonts w:ascii="Arial" w:hAnsi="Arial"/>
                <w:b/>
                <w:sz w:val="20"/>
                <w:szCs w:val="20"/>
              </w:rPr>
            </w:pPr>
            <w:r w:rsidRPr="00360490">
              <w:rPr>
                <w:rFonts w:ascii="Arial" w:hAnsi="Arial"/>
                <w:b/>
                <w:sz w:val="20"/>
                <w:szCs w:val="20"/>
              </w:rPr>
              <w:t>12.</w:t>
            </w:r>
          </w:p>
        </w:tc>
        <w:tc>
          <w:tcPr>
            <w:tcW w:w="2287" w:type="dxa"/>
          </w:tcPr>
          <w:p w14:paraId="6AACD9DB" w14:textId="092D68EA" w:rsidR="00EE21E5" w:rsidRPr="00360490" w:rsidRDefault="00EE21E5" w:rsidP="00EE21E5">
            <w:pPr>
              <w:rPr>
                <w:rFonts w:ascii="Arial" w:hAnsi="Arial"/>
                <w:b/>
                <w:sz w:val="20"/>
                <w:szCs w:val="20"/>
              </w:rPr>
            </w:pPr>
            <w:r w:rsidRPr="00360490">
              <w:rPr>
                <w:rFonts w:ascii="Arial" w:hAnsi="Arial"/>
                <w:b/>
                <w:sz w:val="20"/>
                <w:szCs w:val="20"/>
              </w:rPr>
              <w:t>Amounts / maturity per final recipients</w:t>
            </w:r>
          </w:p>
        </w:tc>
        <w:tc>
          <w:tcPr>
            <w:tcW w:w="7208" w:type="dxa"/>
          </w:tcPr>
          <w:p w14:paraId="50867FD5" w14:textId="77777777" w:rsidR="00EE21E5" w:rsidRPr="00301A2F" w:rsidRDefault="00EE21E5" w:rsidP="00EE21E5">
            <w:pPr>
              <w:rPr>
                <w:rFonts w:ascii="Arial" w:hAnsi="Arial" w:cs="Arial"/>
                <w:sz w:val="20"/>
                <w:szCs w:val="20"/>
              </w:rPr>
            </w:pPr>
            <w:r w:rsidRPr="00301A2F">
              <w:rPr>
                <w:rFonts w:ascii="Arial" w:hAnsi="Arial" w:cs="Arial"/>
                <w:sz w:val="20"/>
                <w:szCs w:val="20"/>
              </w:rPr>
              <w:t>The amount is typically the lower of:</w:t>
            </w:r>
          </w:p>
          <w:p w14:paraId="52E2DC87" w14:textId="77777777" w:rsidR="00EE21E5" w:rsidRPr="00301A2F" w:rsidRDefault="00EE21E5" w:rsidP="00EE21E5">
            <w:pPr>
              <w:rPr>
                <w:rFonts w:ascii="Arial" w:hAnsi="Arial" w:cs="Arial"/>
                <w:sz w:val="20"/>
                <w:szCs w:val="20"/>
              </w:rPr>
            </w:pPr>
            <w:r w:rsidRPr="00301A2F">
              <w:rPr>
                <w:rFonts w:ascii="Arial" w:hAnsi="Arial" w:cs="Arial"/>
                <w:sz w:val="20"/>
                <w:szCs w:val="20"/>
              </w:rPr>
              <w:t>- 50% of the total R&amp;I project costs; and</w:t>
            </w:r>
          </w:p>
          <w:p w14:paraId="64331230" w14:textId="77777777" w:rsidR="00EE21E5" w:rsidRPr="00301A2F" w:rsidRDefault="00EE21E5" w:rsidP="00EE21E5">
            <w:pPr>
              <w:rPr>
                <w:rFonts w:ascii="Arial" w:hAnsi="Arial" w:cs="Arial"/>
                <w:sz w:val="20"/>
                <w:szCs w:val="20"/>
              </w:rPr>
            </w:pPr>
            <w:r w:rsidRPr="00301A2F">
              <w:rPr>
                <w:rFonts w:ascii="Arial" w:hAnsi="Arial" w:cs="Arial"/>
                <w:sz w:val="20"/>
                <w:szCs w:val="20"/>
              </w:rPr>
              <w:t>- the credit risk limits applicable for the risk profile of the promoter and the operation’s structure.</w:t>
            </w:r>
          </w:p>
          <w:p w14:paraId="164DB1E7" w14:textId="77777777" w:rsidR="00EE21E5" w:rsidRPr="00301A2F" w:rsidRDefault="00EE21E5" w:rsidP="00EE21E5">
            <w:pPr>
              <w:jc w:val="both"/>
              <w:rPr>
                <w:rFonts w:ascii="Arial" w:hAnsi="Arial" w:cs="Arial"/>
                <w:sz w:val="20"/>
                <w:szCs w:val="20"/>
              </w:rPr>
            </w:pPr>
          </w:p>
          <w:p w14:paraId="3DAEA510" w14:textId="768C88B7" w:rsidR="00EE21E5" w:rsidRPr="00301A2F" w:rsidRDefault="00EE21E5" w:rsidP="00EE21E5">
            <w:pPr>
              <w:jc w:val="both"/>
              <w:rPr>
                <w:rFonts w:ascii="Arial" w:hAnsi="Arial" w:cs="Arial"/>
                <w:sz w:val="20"/>
                <w:szCs w:val="20"/>
              </w:rPr>
            </w:pPr>
            <w:r w:rsidRPr="00301A2F">
              <w:rPr>
                <w:rFonts w:ascii="Arial" w:hAnsi="Arial" w:cs="Arial"/>
                <w:sz w:val="20"/>
                <w:szCs w:val="20"/>
              </w:rPr>
              <w:t>Minimum amount per financing or investment operation supported by InvestEU shall be [€</w:t>
            </w:r>
            <w:r w:rsidR="00A44958">
              <w:rPr>
                <w:rFonts w:ascii="Arial" w:hAnsi="Arial" w:cs="Arial"/>
                <w:sz w:val="20"/>
                <w:szCs w:val="20"/>
              </w:rPr>
              <w:t>X</w:t>
            </w:r>
            <w:r w:rsidRPr="00301A2F">
              <w:rPr>
                <w:rFonts w:ascii="Arial" w:hAnsi="Arial" w:cs="Arial"/>
                <w:sz w:val="20"/>
                <w:szCs w:val="20"/>
              </w:rPr>
              <w:t xml:space="preserve">m]. </w:t>
            </w:r>
          </w:p>
          <w:p w14:paraId="6FFF2EDA" w14:textId="77777777" w:rsidR="00EE21E5" w:rsidRPr="00301A2F" w:rsidRDefault="00EE21E5" w:rsidP="00EE21E5">
            <w:pPr>
              <w:jc w:val="both"/>
              <w:rPr>
                <w:rFonts w:ascii="Arial" w:hAnsi="Arial" w:cs="Arial"/>
                <w:sz w:val="20"/>
                <w:szCs w:val="20"/>
              </w:rPr>
            </w:pPr>
          </w:p>
          <w:p w14:paraId="2BB54B72" w14:textId="77777777" w:rsidR="00EE21E5" w:rsidRPr="00301A2F" w:rsidRDefault="00EE21E5" w:rsidP="00EE21E5">
            <w:pPr>
              <w:rPr>
                <w:rFonts w:ascii="Arial" w:hAnsi="Arial" w:cs="Arial"/>
                <w:sz w:val="20"/>
                <w:szCs w:val="20"/>
              </w:rPr>
            </w:pPr>
            <w:r w:rsidRPr="00301A2F">
              <w:rPr>
                <w:rFonts w:ascii="Arial" w:hAnsi="Arial" w:cs="Arial"/>
                <w:sz w:val="20"/>
                <w:szCs w:val="20"/>
              </w:rPr>
              <w:t xml:space="preserve">Max amount in line with revised GBER, in case combination with state resources. </w:t>
            </w:r>
          </w:p>
          <w:p w14:paraId="651C1DC4" w14:textId="77777777" w:rsidR="00EE21E5" w:rsidRPr="00301A2F" w:rsidRDefault="00EE21E5" w:rsidP="00EE21E5">
            <w:pPr>
              <w:rPr>
                <w:rFonts w:ascii="Arial" w:hAnsi="Arial" w:cs="Arial"/>
                <w:sz w:val="20"/>
                <w:szCs w:val="20"/>
              </w:rPr>
            </w:pPr>
          </w:p>
          <w:p w14:paraId="02AEE1BE" w14:textId="7B218202" w:rsidR="00EE21E5" w:rsidRPr="00301A2F" w:rsidRDefault="00EE21E5" w:rsidP="00EE21E5">
            <w:pPr>
              <w:jc w:val="both"/>
              <w:rPr>
                <w:rFonts w:ascii="Arial" w:hAnsi="Arial" w:cs="Arial"/>
                <w:sz w:val="20"/>
                <w:szCs w:val="20"/>
              </w:rPr>
            </w:pPr>
            <w:r w:rsidRPr="00301A2F">
              <w:rPr>
                <w:rFonts w:ascii="Arial" w:hAnsi="Arial" w:cs="Arial"/>
                <w:sz w:val="20"/>
                <w:szCs w:val="20"/>
              </w:rPr>
              <w:t xml:space="preserve">Support shall be provided for long-term financing, with a tenor typically ranging initially from [5 to </w:t>
            </w:r>
            <w:r>
              <w:rPr>
                <w:rFonts w:ascii="Arial" w:hAnsi="Arial" w:cs="Arial"/>
                <w:sz w:val="20"/>
                <w:szCs w:val="20"/>
              </w:rPr>
              <w:t>10</w:t>
            </w:r>
            <w:r w:rsidRPr="00301A2F">
              <w:rPr>
                <w:rFonts w:ascii="Arial" w:hAnsi="Arial" w:cs="Arial"/>
                <w:sz w:val="20"/>
                <w:szCs w:val="20"/>
              </w:rPr>
              <w:t xml:space="preserve">] years. Shorter or longer maturities can only be supported if duly justified by the nature of the project or relevant market failures. </w:t>
            </w:r>
          </w:p>
          <w:p w14:paraId="042E917C" w14:textId="7B42E635" w:rsidR="00EE21E5" w:rsidRPr="00EA3F50" w:rsidRDefault="00EE21E5" w:rsidP="00EE21E5">
            <w:pPr>
              <w:tabs>
                <w:tab w:val="left" w:pos="3330"/>
              </w:tabs>
              <w:autoSpaceDE w:val="0"/>
              <w:autoSpaceDN w:val="0"/>
              <w:adjustRightInd w:val="0"/>
              <w:jc w:val="both"/>
              <w:rPr>
                <w:rFonts w:ascii="Arial" w:hAnsi="Arial" w:cs="Arial"/>
                <w:sz w:val="20"/>
                <w:szCs w:val="20"/>
              </w:rPr>
            </w:pPr>
          </w:p>
        </w:tc>
      </w:tr>
      <w:tr w:rsidR="00EE21E5" w:rsidRPr="00360490" w14:paraId="3B984B8C" w14:textId="77777777" w:rsidTr="0096145F">
        <w:tc>
          <w:tcPr>
            <w:tcW w:w="819" w:type="dxa"/>
          </w:tcPr>
          <w:p w14:paraId="5596C23F" w14:textId="4E8E1E87" w:rsidR="00EE21E5" w:rsidRPr="00360490" w:rsidRDefault="00EE21E5" w:rsidP="00EE21E5">
            <w:pPr>
              <w:jc w:val="both"/>
              <w:rPr>
                <w:rFonts w:ascii="Arial" w:hAnsi="Arial"/>
                <w:b/>
                <w:sz w:val="20"/>
                <w:szCs w:val="20"/>
              </w:rPr>
            </w:pPr>
            <w:r w:rsidRPr="00360490">
              <w:rPr>
                <w:rFonts w:ascii="Arial" w:hAnsi="Arial"/>
                <w:b/>
                <w:sz w:val="20"/>
                <w:szCs w:val="20"/>
              </w:rPr>
              <w:t>13.</w:t>
            </w:r>
          </w:p>
        </w:tc>
        <w:tc>
          <w:tcPr>
            <w:tcW w:w="2287" w:type="dxa"/>
          </w:tcPr>
          <w:p w14:paraId="13A6D61D" w14:textId="387A94C3" w:rsidR="00EE21E5" w:rsidRPr="00360490" w:rsidRDefault="00EE21E5" w:rsidP="00EE21E5">
            <w:pPr>
              <w:jc w:val="both"/>
              <w:rPr>
                <w:rFonts w:ascii="Arial" w:hAnsi="Arial"/>
                <w:b/>
                <w:sz w:val="20"/>
                <w:szCs w:val="20"/>
              </w:rPr>
            </w:pPr>
            <w:r w:rsidRPr="00360490">
              <w:rPr>
                <w:rFonts w:ascii="Arial" w:hAnsi="Arial"/>
                <w:b/>
                <w:sz w:val="20"/>
                <w:szCs w:val="20"/>
              </w:rPr>
              <w:t>Blending</w:t>
            </w:r>
          </w:p>
        </w:tc>
        <w:tc>
          <w:tcPr>
            <w:tcW w:w="7208" w:type="dxa"/>
          </w:tcPr>
          <w:p w14:paraId="5D0103D3" w14:textId="7A43CBAF" w:rsidR="00EE21E5" w:rsidRPr="00360490" w:rsidRDefault="009122DD" w:rsidP="00EE21E5">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14389318"/>
                <w14:checkbox>
                  <w14:checked w14:val="0"/>
                  <w14:checkedState w14:val="2612" w14:font="MS Gothic"/>
                  <w14:uncheckedState w14:val="2610" w14:font="MS Gothic"/>
                </w14:checkbox>
              </w:sdtPr>
              <w:sdtEndPr/>
              <w:sdtContent>
                <w:r w:rsidR="00EE21E5">
                  <w:rPr>
                    <w:rFonts w:ascii="MS Gothic" w:eastAsia="MS Gothic" w:hAnsi="MS Gothic" w:cs="Arial" w:hint="eastAsia"/>
                    <w:sz w:val="20"/>
                    <w:szCs w:val="20"/>
                  </w:rPr>
                  <w:t>☐</w:t>
                </w:r>
              </w:sdtContent>
            </w:sdt>
            <w:r w:rsidR="00EE21E5" w:rsidRPr="00360490">
              <w:rPr>
                <w:rFonts w:ascii="Arial" w:hAnsi="Arial" w:cs="Arial"/>
                <w:sz w:val="20"/>
                <w:szCs w:val="20"/>
              </w:rPr>
              <w:t>Yes</w:t>
            </w:r>
          </w:p>
          <w:p w14:paraId="0AFC9437" w14:textId="72947371" w:rsidR="00EE21E5" w:rsidRPr="00EA3F50" w:rsidRDefault="009122DD" w:rsidP="00EE21E5">
            <w:pPr>
              <w:tabs>
                <w:tab w:val="left" w:pos="3330"/>
              </w:tabs>
              <w:autoSpaceDE w:val="0"/>
              <w:autoSpaceDN w:val="0"/>
              <w:adjustRightInd w:val="0"/>
              <w:jc w:val="both"/>
              <w:rPr>
                <w:rFonts w:ascii="Arial" w:hAnsi="Arial" w:cs="Arial"/>
                <w:sz w:val="20"/>
                <w:szCs w:val="20"/>
              </w:rPr>
            </w:pPr>
            <w:sdt>
              <w:sdtPr>
                <w:rPr>
                  <w:rFonts w:ascii="Arial" w:hAnsi="Arial" w:cs="Arial"/>
                  <w:sz w:val="20"/>
                  <w:szCs w:val="20"/>
                </w:rPr>
                <w:id w:val="1083875044"/>
                <w14:checkbox>
                  <w14:checked w14:val="1"/>
                  <w14:checkedState w14:val="2612" w14:font="MS Gothic"/>
                  <w14:uncheckedState w14:val="2610" w14:font="MS Gothic"/>
                </w14:checkbox>
              </w:sdtPr>
              <w:sdtEndPr/>
              <w:sdtContent>
                <w:r w:rsidR="009876C6">
                  <w:rPr>
                    <w:rFonts w:ascii="MS Gothic" w:eastAsia="MS Gothic" w:hAnsi="MS Gothic" w:cs="Arial" w:hint="eastAsia"/>
                    <w:sz w:val="20"/>
                    <w:szCs w:val="20"/>
                  </w:rPr>
                  <w:t>☒</w:t>
                </w:r>
              </w:sdtContent>
            </w:sdt>
            <w:r w:rsidR="00EE21E5" w:rsidRPr="00360490">
              <w:rPr>
                <w:rFonts w:ascii="Arial" w:hAnsi="Arial" w:cs="Arial"/>
                <w:sz w:val="20"/>
                <w:szCs w:val="20"/>
              </w:rPr>
              <w:t xml:space="preserve">No </w:t>
            </w:r>
          </w:p>
          <w:p w14:paraId="0270C73E" w14:textId="77777777" w:rsidR="00EE21E5" w:rsidRPr="00360490" w:rsidRDefault="00EE21E5" w:rsidP="00EE21E5">
            <w:pPr>
              <w:autoSpaceDE w:val="0"/>
              <w:autoSpaceDN w:val="0"/>
              <w:adjustRightInd w:val="0"/>
              <w:jc w:val="both"/>
              <w:rPr>
                <w:rFonts w:ascii="Arial" w:hAnsi="Arial" w:cs="Arial"/>
                <w:i/>
                <w:sz w:val="20"/>
                <w:szCs w:val="20"/>
              </w:rPr>
            </w:pPr>
          </w:p>
        </w:tc>
      </w:tr>
      <w:tr w:rsidR="00EE21E5" w:rsidRPr="00360490" w14:paraId="2F803F4B" w14:textId="77777777" w:rsidTr="0096145F">
        <w:tc>
          <w:tcPr>
            <w:tcW w:w="819" w:type="dxa"/>
          </w:tcPr>
          <w:p w14:paraId="58D0DC2F" w14:textId="723EE973" w:rsidR="00EE21E5" w:rsidRPr="00360490" w:rsidRDefault="00EE21E5" w:rsidP="00EE21E5">
            <w:pPr>
              <w:jc w:val="both"/>
              <w:rPr>
                <w:rFonts w:ascii="Arial" w:hAnsi="Arial"/>
                <w:b/>
                <w:sz w:val="20"/>
                <w:szCs w:val="20"/>
              </w:rPr>
            </w:pPr>
            <w:r w:rsidRPr="00360490">
              <w:rPr>
                <w:rFonts w:ascii="Arial" w:hAnsi="Arial"/>
                <w:b/>
                <w:sz w:val="20"/>
                <w:szCs w:val="20"/>
              </w:rPr>
              <w:t>14.</w:t>
            </w:r>
          </w:p>
        </w:tc>
        <w:tc>
          <w:tcPr>
            <w:tcW w:w="2287" w:type="dxa"/>
          </w:tcPr>
          <w:p w14:paraId="5F9BDB67" w14:textId="7B8683F3" w:rsidR="00EE21E5" w:rsidRPr="00360490" w:rsidRDefault="00EE21E5" w:rsidP="00EE21E5">
            <w:pPr>
              <w:jc w:val="both"/>
              <w:rPr>
                <w:rFonts w:ascii="Arial" w:hAnsi="Arial"/>
                <w:b/>
                <w:sz w:val="20"/>
                <w:szCs w:val="20"/>
              </w:rPr>
            </w:pPr>
            <w:r w:rsidRPr="00360490">
              <w:rPr>
                <w:rFonts w:ascii="Arial" w:hAnsi="Arial"/>
                <w:b/>
                <w:sz w:val="20"/>
                <w:szCs w:val="20"/>
              </w:rPr>
              <w:t>Size of the Product</w:t>
            </w:r>
          </w:p>
        </w:tc>
        <w:tc>
          <w:tcPr>
            <w:tcW w:w="7208" w:type="dxa"/>
          </w:tcPr>
          <w:p w14:paraId="69D08DF6" w14:textId="5D4CD860" w:rsidR="00EE21E5" w:rsidRPr="00301A2F" w:rsidRDefault="00EE21E5" w:rsidP="00EE21E5">
            <w:pPr>
              <w:autoSpaceDE w:val="0"/>
              <w:autoSpaceDN w:val="0"/>
              <w:adjustRightInd w:val="0"/>
              <w:jc w:val="both"/>
              <w:rPr>
                <w:rFonts w:ascii="Arial" w:hAnsi="Arial" w:cs="Arial"/>
                <w:sz w:val="20"/>
                <w:szCs w:val="20"/>
              </w:rPr>
            </w:pPr>
            <w:r>
              <w:rPr>
                <w:rFonts w:ascii="Arial" w:hAnsi="Arial" w:cs="Arial"/>
                <w:sz w:val="20"/>
                <w:szCs w:val="20"/>
              </w:rPr>
              <w:t xml:space="preserve">[to be discussed] </w:t>
            </w:r>
          </w:p>
          <w:p w14:paraId="793CE092" w14:textId="1C9C4A02" w:rsidR="00EE21E5" w:rsidRPr="00360490" w:rsidDel="00A970EE" w:rsidRDefault="00EE21E5" w:rsidP="00EE21E5">
            <w:pPr>
              <w:autoSpaceDE w:val="0"/>
              <w:autoSpaceDN w:val="0"/>
              <w:adjustRightInd w:val="0"/>
              <w:jc w:val="both"/>
              <w:rPr>
                <w:rFonts w:ascii="Arial" w:hAnsi="Arial" w:cs="Arial"/>
                <w:i/>
                <w:sz w:val="20"/>
                <w:szCs w:val="20"/>
              </w:rPr>
            </w:pPr>
          </w:p>
        </w:tc>
      </w:tr>
      <w:tr w:rsidR="00EE21E5" w:rsidRPr="00360490" w14:paraId="6FA750A0" w14:textId="77777777" w:rsidTr="0096145F">
        <w:tc>
          <w:tcPr>
            <w:tcW w:w="819" w:type="dxa"/>
          </w:tcPr>
          <w:p w14:paraId="6FA7509D" w14:textId="01710254" w:rsidR="00EE21E5" w:rsidRPr="00360490" w:rsidRDefault="00EE21E5" w:rsidP="00EE21E5">
            <w:pPr>
              <w:jc w:val="both"/>
              <w:rPr>
                <w:rFonts w:ascii="Arial" w:hAnsi="Arial"/>
                <w:b/>
                <w:sz w:val="20"/>
                <w:szCs w:val="20"/>
              </w:rPr>
            </w:pPr>
            <w:r w:rsidRPr="00360490">
              <w:rPr>
                <w:rFonts w:ascii="Arial" w:hAnsi="Arial"/>
                <w:b/>
                <w:sz w:val="20"/>
                <w:szCs w:val="20"/>
              </w:rPr>
              <w:t>15.</w:t>
            </w:r>
          </w:p>
        </w:tc>
        <w:tc>
          <w:tcPr>
            <w:tcW w:w="2287" w:type="dxa"/>
          </w:tcPr>
          <w:p w14:paraId="6FA7509E" w14:textId="594BAC06" w:rsidR="00EE21E5" w:rsidRPr="00360490" w:rsidRDefault="00EE21E5" w:rsidP="00EE21E5">
            <w:pPr>
              <w:jc w:val="both"/>
              <w:rPr>
                <w:rFonts w:ascii="Arial" w:hAnsi="Arial"/>
                <w:i/>
                <w:sz w:val="20"/>
                <w:szCs w:val="20"/>
              </w:rPr>
            </w:pPr>
            <w:r w:rsidRPr="00360490">
              <w:rPr>
                <w:rFonts w:ascii="Arial" w:hAnsi="Arial"/>
                <w:b/>
                <w:sz w:val="20"/>
                <w:szCs w:val="20"/>
              </w:rPr>
              <w:t>Pricing (only relevant for debt/guarantee products)</w:t>
            </w:r>
          </w:p>
        </w:tc>
        <w:tc>
          <w:tcPr>
            <w:tcW w:w="7208" w:type="dxa"/>
          </w:tcPr>
          <w:p w14:paraId="1868C10C" w14:textId="4009A9B5" w:rsidR="00EE21E5" w:rsidRPr="00360490" w:rsidRDefault="009122DD" w:rsidP="00EE21E5">
            <w:pPr>
              <w:tabs>
                <w:tab w:val="left" w:pos="915"/>
              </w:tabs>
              <w:autoSpaceDE w:val="0"/>
              <w:autoSpaceDN w:val="0"/>
              <w:adjustRightInd w:val="0"/>
              <w:jc w:val="both"/>
              <w:rPr>
                <w:rFonts w:ascii="Arial" w:hAnsi="Arial"/>
                <w:sz w:val="20"/>
                <w:szCs w:val="20"/>
              </w:rPr>
            </w:pPr>
            <w:sdt>
              <w:sdtPr>
                <w:rPr>
                  <w:rFonts w:ascii="Arial" w:hAnsi="Arial" w:cs="Arial"/>
                  <w:sz w:val="20"/>
                  <w:szCs w:val="20"/>
                </w:rPr>
                <w:id w:val="20908143"/>
                <w14:checkbox>
                  <w14:checked w14:val="0"/>
                  <w14:checkedState w14:val="2612" w14:font="MS Gothic"/>
                  <w14:uncheckedState w14:val="2610" w14:font="MS Gothic"/>
                </w14:checkbox>
              </w:sdtPr>
              <w:sdtEndPr/>
              <w:sdtContent>
                <w:r w:rsidR="00EE21E5" w:rsidRPr="00360490">
                  <w:rPr>
                    <w:rFonts w:ascii="MS Gothic" w:eastAsia="MS Gothic" w:hAnsi="MS Gothic" w:cs="Arial" w:hint="eastAsia"/>
                    <w:sz w:val="20"/>
                    <w:szCs w:val="20"/>
                  </w:rPr>
                  <w:t>☐</w:t>
                </w:r>
              </w:sdtContent>
            </w:sdt>
            <w:r w:rsidR="00EE21E5" w:rsidRPr="00360490">
              <w:rPr>
                <w:rFonts w:ascii="Arial" w:hAnsi="Arial"/>
                <w:sz w:val="20"/>
                <w:szCs w:val="20"/>
              </w:rPr>
              <w:t>Free of charge</w:t>
            </w:r>
          </w:p>
          <w:p w14:paraId="05C2B5A4" w14:textId="2D1F218B" w:rsidR="00EE21E5" w:rsidRPr="00360490" w:rsidRDefault="009122DD" w:rsidP="00EE21E5">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955866965"/>
                <w14:checkbox>
                  <w14:checked w14:val="0"/>
                  <w14:checkedState w14:val="2612" w14:font="MS Gothic"/>
                  <w14:uncheckedState w14:val="2610" w14:font="MS Gothic"/>
                </w14:checkbox>
              </w:sdtPr>
              <w:sdtEndPr/>
              <w:sdtContent>
                <w:r w:rsidR="00EE21E5" w:rsidRPr="00360490">
                  <w:rPr>
                    <w:rFonts w:ascii="MS Gothic" w:eastAsia="MS Gothic" w:hAnsi="MS Gothic" w:cs="Arial" w:hint="eastAsia"/>
                    <w:sz w:val="20"/>
                    <w:szCs w:val="20"/>
                  </w:rPr>
                  <w:t>☐</w:t>
                </w:r>
              </w:sdtContent>
            </w:sdt>
            <w:r w:rsidR="00EE21E5" w:rsidRPr="00360490">
              <w:rPr>
                <w:rFonts w:ascii="Arial" w:hAnsi="Arial" w:cs="Arial"/>
                <w:sz w:val="20"/>
                <w:szCs w:val="20"/>
              </w:rPr>
              <w:t>Partially priced</w:t>
            </w:r>
          </w:p>
          <w:p w14:paraId="1E569F0D" w14:textId="362E3BEB" w:rsidR="00EE21E5" w:rsidRPr="00360490" w:rsidRDefault="009122DD" w:rsidP="00EE21E5">
            <w:pPr>
              <w:tabs>
                <w:tab w:val="left" w:pos="915"/>
              </w:tabs>
              <w:autoSpaceDE w:val="0"/>
              <w:autoSpaceDN w:val="0"/>
              <w:adjustRightInd w:val="0"/>
              <w:jc w:val="both"/>
              <w:rPr>
                <w:rFonts w:ascii="Arial" w:hAnsi="Arial"/>
                <w:sz w:val="20"/>
                <w:szCs w:val="20"/>
              </w:rPr>
            </w:pPr>
            <w:sdt>
              <w:sdtPr>
                <w:rPr>
                  <w:rFonts w:ascii="Arial" w:hAnsi="Arial" w:cs="Arial"/>
                  <w:sz w:val="20"/>
                  <w:szCs w:val="20"/>
                </w:rPr>
                <w:id w:val="-1770465951"/>
                <w14:checkbox>
                  <w14:checked w14:val="1"/>
                  <w14:checkedState w14:val="2612" w14:font="MS Gothic"/>
                  <w14:uncheckedState w14:val="2610" w14:font="MS Gothic"/>
                </w14:checkbox>
              </w:sdtPr>
              <w:sdtEndPr/>
              <w:sdtContent>
                <w:r w:rsidR="00A44958">
                  <w:rPr>
                    <w:rFonts w:ascii="MS Gothic" w:eastAsia="MS Gothic" w:hAnsi="MS Gothic" w:cs="Arial" w:hint="eastAsia"/>
                    <w:sz w:val="20"/>
                    <w:szCs w:val="20"/>
                  </w:rPr>
                  <w:t>☒</w:t>
                </w:r>
              </w:sdtContent>
            </w:sdt>
            <w:r w:rsidR="00EE21E5" w:rsidRPr="00360490">
              <w:rPr>
                <w:rFonts w:ascii="Arial" w:hAnsi="Arial"/>
                <w:sz w:val="20"/>
                <w:szCs w:val="20"/>
              </w:rPr>
              <w:t>Fully priced</w:t>
            </w:r>
          </w:p>
          <w:p w14:paraId="6E82439E" w14:textId="77777777" w:rsidR="00EE21E5" w:rsidRDefault="00EE21E5" w:rsidP="00EE21E5">
            <w:pPr>
              <w:autoSpaceDE w:val="0"/>
              <w:autoSpaceDN w:val="0"/>
              <w:adjustRightInd w:val="0"/>
              <w:jc w:val="both"/>
              <w:rPr>
                <w:rFonts w:ascii="Arial" w:hAnsi="Arial" w:cs="Arial"/>
                <w:sz w:val="20"/>
                <w:szCs w:val="20"/>
              </w:rPr>
            </w:pPr>
          </w:p>
          <w:p w14:paraId="6FA7509F" w14:textId="6F095863" w:rsidR="00A44958" w:rsidRPr="00360490" w:rsidRDefault="00A44958" w:rsidP="00A44958">
            <w:pPr>
              <w:autoSpaceDE w:val="0"/>
              <w:autoSpaceDN w:val="0"/>
              <w:adjustRightInd w:val="0"/>
              <w:jc w:val="both"/>
              <w:rPr>
                <w:rFonts w:ascii="Arial" w:hAnsi="Arial" w:cs="Arial"/>
                <w:sz w:val="20"/>
                <w:szCs w:val="20"/>
              </w:rPr>
            </w:pPr>
            <w:r>
              <w:rPr>
                <w:rFonts w:ascii="Arial" w:hAnsi="Arial" w:cs="Arial"/>
                <w:sz w:val="20"/>
                <w:szCs w:val="20"/>
              </w:rPr>
              <w:t>To be discussed between the Commission and the implementing partners. In principle, it is expected that the implementing partner applies pricing in line with its methodology</w:t>
            </w:r>
            <w:r w:rsidR="009876C6">
              <w:rPr>
                <w:rFonts w:ascii="Arial" w:hAnsi="Arial" w:cs="Arial"/>
                <w:sz w:val="20"/>
                <w:szCs w:val="20"/>
              </w:rPr>
              <w:t xml:space="preserve">. </w:t>
            </w:r>
          </w:p>
        </w:tc>
      </w:tr>
      <w:tr w:rsidR="00EE21E5" w:rsidRPr="00360490" w14:paraId="794686E9" w14:textId="77777777" w:rsidTr="0096145F">
        <w:tc>
          <w:tcPr>
            <w:tcW w:w="819" w:type="dxa"/>
          </w:tcPr>
          <w:p w14:paraId="691D9127" w14:textId="4671185A" w:rsidR="00EE21E5" w:rsidRPr="00360490" w:rsidRDefault="00EE21E5" w:rsidP="00EE21E5">
            <w:pPr>
              <w:jc w:val="both"/>
              <w:rPr>
                <w:rFonts w:ascii="Arial" w:hAnsi="Arial"/>
                <w:b/>
                <w:sz w:val="20"/>
                <w:szCs w:val="20"/>
              </w:rPr>
            </w:pPr>
            <w:r w:rsidRPr="00360490">
              <w:rPr>
                <w:rFonts w:ascii="Arial" w:hAnsi="Arial"/>
                <w:b/>
                <w:sz w:val="20"/>
                <w:szCs w:val="20"/>
              </w:rPr>
              <w:t>16.</w:t>
            </w:r>
          </w:p>
        </w:tc>
        <w:tc>
          <w:tcPr>
            <w:tcW w:w="2287" w:type="dxa"/>
          </w:tcPr>
          <w:p w14:paraId="2E567C28" w14:textId="716811C4" w:rsidR="00EE21E5" w:rsidRPr="00360490" w:rsidRDefault="00EE21E5" w:rsidP="00EE21E5">
            <w:pPr>
              <w:jc w:val="both"/>
              <w:rPr>
                <w:rFonts w:ascii="Arial" w:hAnsi="Arial"/>
                <w:b/>
                <w:sz w:val="20"/>
                <w:szCs w:val="20"/>
              </w:rPr>
            </w:pPr>
            <w:r w:rsidRPr="00360490">
              <w:rPr>
                <w:rFonts w:ascii="Arial" w:hAnsi="Arial"/>
                <w:b/>
                <w:sz w:val="20"/>
                <w:szCs w:val="20"/>
              </w:rPr>
              <w:t>Guaranteed Amounts</w:t>
            </w:r>
          </w:p>
        </w:tc>
        <w:tc>
          <w:tcPr>
            <w:tcW w:w="7208" w:type="dxa"/>
          </w:tcPr>
          <w:p w14:paraId="26AC2ECF" w14:textId="77777777" w:rsidR="00EE21E5" w:rsidRPr="00301A2F" w:rsidRDefault="00EE21E5" w:rsidP="00EE21E5">
            <w:pPr>
              <w:jc w:val="both"/>
              <w:rPr>
                <w:rFonts w:ascii="Arial" w:hAnsi="Arial"/>
                <w:i/>
                <w:sz w:val="20"/>
                <w:szCs w:val="20"/>
              </w:rPr>
            </w:pPr>
            <w:r w:rsidRPr="00301A2F">
              <w:rPr>
                <w:rFonts w:ascii="Arial" w:hAnsi="Arial"/>
                <w:sz w:val="20"/>
                <w:szCs w:val="20"/>
              </w:rPr>
              <w:t xml:space="preserve">In line with Article 16 (2) of the InvestEU Regulation, the EU Guarantee shall </w:t>
            </w:r>
            <w:r w:rsidRPr="00301A2F">
              <w:rPr>
                <w:rFonts w:ascii="Arial" w:hAnsi="Arial"/>
                <w:sz w:val="20"/>
                <w:szCs w:val="20"/>
              </w:rPr>
              <w:lastRenderedPageBreak/>
              <w:t xml:space="preserve">cover principle and all interest and amounts due to the implementing partner but not received by it in accordance with the terms of the financing operations until the event of default, restructuring losses and losses arising from currencies fluctuations other than the euro in markets where possibilities for long-term hedging are limited. </w:t>
            </w:r>
          </w:p>
          <w:p w14:paraId="46E5CF17" w14:textId="0C4AA518" w:rsidR="00EE21E5" w:rsidRPr="00360490" w:rsidDel="00A970EE" w:rsidRDefault="00EE21E5" w:rsidP="00EE21E5">
            <w:pPr>
              <w:rPr>
                <w:rFonts w:ascii="Arial" w:hAnsi="Arial"/>
                <w:i/>
                <w:sz w:val="20"/>
                <w:szCs w:val="20"/>
              </w:rPr>
            </w:pPr>
          </w:p>
        </w:tc>
      </w:tr>
      <w:tr w:rsidR="00EE21E5" w:rsidRPr="00360490" w14:paraId="6FA750A8" w14:textId="77777777" w:rsidTr="0096145F">
        <w:tc>
          <w:tcPr>
            <w:tcW w:w="819" w:type="dxa"/>
          </w:tcPr>
          <w:p w14:paraId="6FA750A1" w14:textId="612D33B4" w:rsidR="00EE21E5" w:rsidRPr="00360490" w:rsidRDefault="00EE21E5" w:rsidP="00EE21E5">
            <w:pPr>
              <w:jc w:val="both"/>
              <w:rPr>
                <w:rFonts w:ascii="Arial" w:hAnsi="Arial"/>
                <w:b/>
                <w:sz w:val="20"/>
                <w:szCs w:val="20"/>
              </w:rPr>
            </w:pPr>
            <w:r w:rsidRPr="00360490">
              <w:rPr>
                <w:rFonts w:ascii="Arial" w:hAnsi="Arial"/>
                <w:b/>
                <w:sz w:val="20"/>
                <w:szCs w:val="20"/>
              </w:rPr>
              <w:lastRenderedPageBreak/>
              <w:t>17.</w:t>
            </w:r>
          </w:p>
        </w:tc>
        <w:tc>
          <w:tcPr>
            <w:tcW w:w="2287" w:type="dxa"/>
          </w:tcPr>
          <w:p w14:paraId="6FA750A2" w14:textId="39E3A99C" w:rsidR="00EE21E5" w:rsidRPr="00360490" w:rsidRDefault="00EE21E5" w:rsidP="00EE21E5">
            <w:pPr>
              <w:jc w:val="both"/>
              <w:rPr>
                <w:rFonts w:ascii="Arial" w:hAnsi="Arial"/>
                <w:b/>
                <w:sz w:val="20"/>
                <w:szCs w:val="20"/>
              </w:rPr>
            </w:pPr>
            <w:r w:rsidRPr="00360490">
              <w:rPr>
                <w:rFonts w:ascii="Arial" w:hAnsi="Arial"/>
                <w:b/>
                <w:sz w:val="20"/>
                <w:szCs w:val="20"/>
              </w:rPr>
              <w:t>EU Guarantee coverage provided to the Implementing Partner</w:t>
            </w:r>
          </w:p>
        </w:tc>
        <w:tc>
          <w:tcPr>
            <w:tcW w:w="7208" w:type="dxa"/>
          </w:tcPr>
          <w:p w14:paraId="6FA750A3" w14:textId="117C155C" w:rsidR="00EE21E5" w:rsidRPr="00360490" w:rsidRDefault="009122DD" w:rsidP="00EE21E5">
            <w:pPr>
              <w:tabs>
                <w:tab w:val="left" w:pos="915"/>
              </w:tabs>
              <w:autoSpaceDE w:val="0"/>
              <w:autoSpaceDN w:val="0"/>
              <w:adjustRightInd w:val="0"/>
              <w:jc w:val="both"/>
              <w:rPr>
                <w:rFonts w:ascii="Arial" w:hAnsi="Arial"/>
                <w:sz w:val="20"/>
                <w:szCs w:val="20"/>
              </w:rPr>
            </w:pPr>
            <w:sdt>
              <w:sdtPr>
                <w:rPr>
                  <w:rFonts w:ascii="Arial" w:hAnsi="Arial" w:cs="Arial"/>
                  <w:sz w:val="20"/>
                  <w:szCs w:val="20"/>
                </w:rPr>
                <w:id w:val="712303792"/>
                <w14:checkbox>
                  <w14:checked w14:val="0"/>
                  <w14:checkedState w14:val="2612" w14:font="MS Gothic"/>
                  <w14:uncheckedState w14:val="2610" w14:font="MS Gothic"/>
                </w14:checkbox>
              </w:sdtPr>
              <w:sdtEndPr/>
              <w:sdtContent>
                <w:r w:rsidR="00EE21E5">
                  <w:rPr>
                    <w:rFonts w:ascii="MS Gothic" w:eastAsia="MS Gothic" w:hAnsi="MS Gothic" w:cs="Arial" w:hint="eastAsia"/>
                    <w:sz w:val="20"/>
                    <w:szCs w:val="20"/>
                  </w:rPr>
                  <w:t>☐</w:t>
                </w:r>
              </w:sdtContent>
            </w:sdt>
            <w:r w:rsidR="00EE21E5" w:rsidRPr="00360490">
              <w:rPr>
                <w:rFonts w:ascii="Arial" w:hAnsi="Arial"/>
                <w:sz w:val="20"/>
                <w:szCs w:val="20"/>
              </w:rPr>
              <w:t>First Loss Contribution</w:t>
            </w:r>
          </w:p>
          <w:p w14:paraId="6FA750A4" w14:textId="53AF5F4A" w:rsidR="00EE21E5" w:rsidRPr="00360490" w:rsidRDefault="009122DD" w:rsidP="00EE21E5">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1973824655"/>
                <w14:checkbox>
                  <w14:checked w14:val="1"/>
                  <w14:checkedState w14:val="2612" w14:font="MS Gothic"/>
                  <w14:uncheckedState w14:val="2610" w14:font="MS Gothic"/>
                </w14:checkbox>
              </w:sdtPr>
              <w:sdtEndPr/>
              <w:sdtContent>
                <w:r w:rsidR="00EE21E5">
                  <w:rPr>
                    <w:rFonts w:ascii="MS Gothic" w:eastAsia="MS Gothic" w:hAnsi="MS Gothic" w:cs="Arial" w:hint="eastAsia"/>
                    <w:sz w:val="20"/>
                    <w:szCs w:val="20"/>
                  </w:rPr>
                  <w:t>☒</w:t>
                </w:r>
              </w:sdtContent>
            </w:sdt>
            <w:r w:rsidR="00EE21E5" w:rsidRPr="00360490">
              <w:rPr>
                <w:rFonts w:ascii="Arial" w:hAnsi="Arial" w:cs="Arial"/>
                <w:sz w:val="20"/>
                <w:szCs w:val="20"/>
              </w:rPr>
              <w:t>Pari-passu</w:t>
            </w:r>
          </w:p>
          <w:p w14:paraId="6FA750A5" w14:textId="1163D211" w:rsidR="00EE21E5" w:rsidRPr="00360490" w:rsidRDefault="009122DD" w:rsidP="00EE21E5">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276921745"/>
                <w14:checkbox>
                  <w14:checked w14:val="0"/>
                  <w14:checkedState w14:val="2612" w14:font="MS Gothic"/>
                  <w14:uncheckedState w14:val="2610" w14:font="MS Gothic"/>
                </w14:checkbox>
              </w:sdtPr>
              <w:sdtEndPr/>
              <w:sdtContent>
                <w:r w:rsidR="00EE21E5" w:rsidRPr="00360490">
                  <w:rPr>
                    <w:rFonts w:ascii="MS Gothic" w:eastAsia="MS Gothic" w:hAnsi="MS Gothic" w:cs="Arial" w:hint="eastAsia"/>
                    <w:sz w:val="20"/>
                    <w:szCs w:val="20"/>
                  </w:rPr>
                  <w:t>☐</w:t>
                </w:r>
              </w:sdtContent>
            </w:sdt>
            <w:r w:rsidR="00EE21E5" w:rsidRPr="00360490">
              <w:rPr>
                <w:rFonts w:ascii="Arial" w:hAnsi="Arial" w:cs="Arial"/>
                <w:sz w:val="20"/>
                <w:szCs w:val="20"/>
              </w:rPr>
              <w:t xml:space="preserve">Other arrangements </w:t>
            </w:r>
            <w:r w:rsidR="00EE21E5" w:rsidRPr="00360490">
              <w:rPr>
                <w:rFonts w:ascii="Arial" w:hAnsi="Arial" w:cs="Arial"/>
                <w:i/>
                <w:sz w:val="20"/>
                <w:szCs w:val="20"/>
              </w:rPr>
              <w:t>(please specify)</w:t>
            </w:r>
          </w:p>
          <w:p w14:paraId="6FA750A7" w14:textId="2354DD8B" w:rsidR="00EE21E5" w:rsidRPr="00360490" w:rsidRDefault="00EE21E5" w:rsidP="00EE21E5">
            <w:pPr>
              <w:tabs>
                <w:tab w:val="left" w:pos="915"/>
              </w:tabs>
              <w:autoSpaceDE w:val="0"/>
              <w:autoSpaceDN w:val="0"/>
              <w:adjustRightInd w:val="0"/>
              <w:jc w:val="both"/>
              <w:rPr>
                <w:rFonts w:ascii="Arial" w:hAnsi="Arial" w:cs="Arial"/>
                <w:i/>
                <w:sz w:val="20"/>
                <w:szCs w:val="20"/>
              </w:rPr>
            </w:pPr>
          </w:p>
        </w:tc>
      </w:tr>
      <w:tr w:rsidR="00EE21E5" w:rsidRPr="00360490" w14:paraId="6FA750AE" w14:textId="77777777" w:rsidTr="0096145F">
        <w:tc>
          <w:tcPr>
            <w:tcW w:w="819" w:type="dxa"/>
          </w:tcPr>
          <w:p w14:paraId="6FA750A9" w14:textId="4B9D9E97" w:rsidR="00EE21E5" w:rsidRPr="00360490" w:rsidRDefault="00EE21E5" w:rsidP="00EE21E5">
            <w:pPr>
              <w:rPr>
                <w:rFonts w:ascii="Arial" w:hAnsi="Arial"/>
                <w:b/>
                <w:sz w:val="20"/>
                <w:szCs w:val="20"/>
              </w:rPr>
            </w:pPr>
            <w:r w:rsidRPr="00360490">
              <w:rPr>
                <w:rFonts w:ascii="Arial" w:hAnsi="Arial"/>
                <w:b/>
                <w:sz w:val="20"/>
                <w:szCs w:val="20"/>
              </w:rPr>
              <w:t>18.</w:t>
            </w:r>
          </w:p>
        </w:tc>
        <w:tc>
          <w:tcPr>
            <w:tcW w:w="2287" w:type="dxa"/>
          </w:tcPr>
          <w:p w14:paraId="6FA750AA" w14:textId="4FD6E112" w:rsidR="00EE21E5" w:rsidRPr="00360490" w:rsidRDefault="00EE21E5" w:rsidP="00EE21E5">
            <w:pPr>
              <w:rPr>
                <w:rFonts w:ascii="Arial" w:hAnsi="Arial"/>
                <w:b/>
                <w:sz w:val="20"/>
                <w:szCs w:val="20"/>
              </w:rPr>
            </w:pPr>
            <w:r w:rsidRPr="00360490">
              <w:rPr>
                <w:rFonts w:ascii="Arial" w:hAnsi="Arial"/>
                <w:b/>
                <w:sz w:val="20"/>
                <w:szCs w:val="20"/>
              </w:rPr>
              <w:t>Risk Sharing with the Implementing Partner</w:t>
            </w:r>
          </w:p>
        </w:tc>
        <w:tc>
          <w:tcPr>
            <w:tcW w:w="7208" w:type="dxa"/>
          </w:tcPr>
          <w:p w14:paraId="6FA750AB" w14:textId="45113D29" w:rsidR="00EE21E5" w:rsidRPr="00360490" w:rsidRDefault="009122DD" w:rsidP="00EE21E5">
            <w:pPr>
              <w:autoSpaceDE w:val="0"/>
              <w:autoSpaceDN w:val="0"/>
              <w:adjustRightInd w:val="0"/>
              <w:jc w:val="both"/>
              <w:rPr>
                <w:rFonts w:ascii="Arial" w:hAnsi="Arial" w:cs="Arial"/>
                <w:sz w:val="20"/>
                <w:szCs w:val="20"/>
              </w:rPr>
            </w:pPr>
            <w:sdt>
              <w:sdtPr>
                <w:rPr>
                  <w:rFonts w:ascii="Arial" w:hAnsi="Arial" w:cs="Arial"/>
                  <w:sz w:val="20"/>
                  <w:szCs w:val="20"/>
                </w:rPr>
                <w:id w:val="-918636485"/>
                <w14:checkbox>
                  <w14:checked w14:val="0"/>
                  <w14:checkedState w14:val="2612" w14:font="MS Gothic"/>
                  <w14:uncheckedState w14:val="2610" w14:font="MS Gothic"/>
                </w14:checkbox>
              </w:sdtPr>
              <w:sdtEndPr/>
              <w:sdtContent>
                <w:r w:rsidR="00EE21E5">
                  <w:rPr>
                    <w:rFonts w:ascii="MS Gothic" w:eastAsia="MS Gothic" w:hAnsi="MS Gothic" w:cs="Arial" w:hint="eastAsia"/>
                    <w:sz w:val="20"/>
                    <w:szCs w:val="20"/>
                  </w:rPr>
                  <w:t>☐</w:t>
                </w:r>
              </w:sdtContent>
            </w:sdt>
            <w:r w:rsidR="00EE21E5" w:rsidRPr="00360490">
              <w:rPr>
                <w:rFonts w:ascii="Arial" w:hAnsi="Arial" w:cs="Arial"/>
                <w:sz w:val="20"/>
                <w:szCs w:val="20"/>
              </w:rPr>
              <w:t>Risk-sharing of First Loss piece: [x] % of FLP</w:t>
            </w:r>
          </w:p>
          <w:p w14:paraId="6FA750AC" w14:textId="6CCEAA66" w:rsidR="00EE21E5" w:rsidRPr="00360490" w:rsidRDefault="009122DD" w:rsidP="00EE21E5">
            <w:pPr>
              <w:autoSpaceDE w:val="0"/>
              <w:autoSpaceDN w:val="0"/>
              <w:adjustRightInd w:val="0"/>
              <w:jc w:val="both"/>
              <w:rPr>
                <w:rFonts w:ascii="Arial" w:hAnsi="Arial" w:cs="Arial"/>
                <w:sz w:val="20"/>
                <w:szCs w:val="20"/>
              </w:rPr>
            </w:pPr>
            <w:sdt>
              <w:sdtPr>
                <w:rPr>
                  <w:rFonts w:ascii="Arial" w:hAnsi="Arial" w:cs="Arial"/>
                  <w:sz w:val="20"/>
                  <w:szCs w:val="20"/>
                </w:rPr>
                <w:id w:val="-1080057921"/>
                <w14:checkbox>
                  <w14:checked w14:val="0"/>
                  <w14:checkedState w14:val="2612" w14:font="MS Gothic"/>
                  <w14:uncheckedState w14:val="2610" w14:font="MS Gothic"/>
                </w14:checkbox>
              </w:sdtPr>
              <w:sdtEndPr/>
              <w:sdtContent>
                <w:r w:rsidR="00EE21E5">
                  <w:rPr>
                    <w:rFonts w:ascii="MS Gothic" w:eastAsia="MS Gothic" w:hAnsi="MS Gothic" w:cs="Arial" w:hint="eastAsia"/>
                    <w:sz w:val="20"/>
                    <w:szCs w:val="20"/>
                  </w:rPr>
                  <w:t>☐</w:t>
                </w:r>
              </w:sdtContent>
            </w:sdt>
            <w:r w:rsidR="00EE21E5" w:rsidRPr="00360490">
              <w:rPr>
                <w:rFonts w:ascii="Arial" w:hAnsi="Arial" w:cs="Arial"/>
                <w:sz w:val="20"/>
                <w:szCs w:val="20"/>
              </w:rPr>
              <w:t>Residual Risk Tranche ('Second Loss Piece'): [x] %</w:t>
            </w:r>
          </w:p>
          <w:p w14:paraId="01297ECA" w14:textId="282500E0" w:rsidR="00EE21E5" w:rsidRPr="00360490" w:rsidRDefault="009122DD" w:rsidP="00EE21E5">
            <w:pPr>
              <w:tabs>
                <w:tab w:val="left" w:pos="915"/>
              </w:tabs>
              <w:autoSpaceDE w:val="0"/>
              <w:autoSpaceDN w:val="0"/>
              <w:adjustRightInd w:val="0"/>
              <w:jc w:val="both"/>
              <w:rPr>
                <w:rFonts w:ascii="Arial" w:hAnsi="Arial" w:cs="Arial"/>
                <w:sz w:val="20"/>
                <w:szCs w:val="20"/>
              </w:rPr>
            </w:pPr>
            <w:sdt>
              <w:sdtPr>
                <w:rPr>
                  <w:rFonts w:ascii="Arial" w:hAnsi="Arial" w:cs="Arial"/>
                  <w:sz w:val="20"/>
                  <w:szCs w:val="20"/>
                </w:rPr>
                <w:id w:val="187805710"/>
                <w14:checkbox>
                  <w14:checked w14:val="1"/>
                  <w14:checkedState w14:val="2612" w14:font="MS Gothic"/>
                  <w14:uncheckedState w14:val="2610" w14:font="MS Gothic"/>
                </w14:checkbox>
              </w:sdtPr>
              <w:sdtEndPr/>
              <w:sdtContent>
                <w:r w:rsidR="00EE21E5">
                  <w:rPr>
                    <w:rFonts w:ascii="MS Gothic" w:eastAsia="MS Gothic" w:hAnsi="MS Gothic" w:cs="Arial" w:hint="eastAsia"/>
                    <w:sz w:val="20"/>
                    <w:szCs w:val="20"/>
                  </w:rPr>
                  <w:t>☒</w:t>
                </w:r>
              </w:sdtContent>
            </w:sdt>
            <w:r w:rsidR="00EE21E5" w:rsidRPr="00360490">
              <w:rPr>
                <w:rFonts w:ascii="Arial" w:hAnsi="Arial" w:cs="Arial"/>
                <w:sz w:val="20"/>
                <w:szCs w:val="20"/>
              </w:rPr>
              <w:t>Pari-passu for the whole instrument</w:t>
            </w:r>
          </w:p>
          <w:p w14:paraId="6DFDEEFE" w14:textId="679ECF70" w:rsidR="00EE21E5" w:rsidRDefault="009122DD" w:rsidP="00EE21E5">
            <w:pPr>
              <w:tabs>
                <w:tab w:val="left" w:pos="3330"/>
              </w:tabs>
              <w:autoSpaceDE w:val="0"/>
              <w:autoSpaceDN w:val="0"/>
              <w:adjustRightInd w:val="0"/>
              <w:jc w:val="both"/>
              <w:rPr>
                <w:rFonts w:ascii="Arial" w:hAnsi="Arial" w:cs="Arial"/>
                <w:i/>
                <w:sz w:val="20"/>
                <w:szCs w:val="20"/>
              </w:rPr>
            </w:pPr>
            <w:sdt>
              <w:sdtPr>
                <w:rPr>
                  <w:rFonts w:ascii="Arial" w:hAnsi="Arial" w:cs="Arial"/>
                  <w:sz w:val="20"/>
                  <w:szCs w:val="20"/>
                </w:rPr>
                <w:id w:val="-969363359"/>
                <w14:checkbox>
                  <w14:checked w14:val="0"/>
                  <w14:checkedState w14:val="2612" w14:font="MS Gothic"/>
                  <w14:uncheckedState w14:val="2610" w14:font="MS Gothic"/>
                </w14:checkbox>
              </w:sdtPr>
              <w:sdtEndPr/>
              <w:sdtContent>
                <w:r w:rsidR="00EE21E5" w:rsidRPr="00360490">
                  <w:rPr>
                    <w:rFonts w:ascii="MS Gothic" w:eastAsia="MS Gothic" w:hAnsi="MS Gothic" w:cs="Arial" w:hint="eastAsia"/>
                    <w:sz w:val="20"/>
                    <w:szCs w:val="20"/>
                  </w:rPr>
                  <w:t>☐</w:t>
                </w:r>
              </w:sdtContent>
            </w:sdt>
            <w:r w:rsidR="00EE21E5" w:rsidRPr="00360490">
              <w:rPr>
                <w:rFonts w:ascii="Arial" w:hAnsi="Arial" w:cs="Arial"/>
                <w:sz w:val="20"/>
                <w:szCs w:val="20"/>
              </w:rPr>
              <w:t xml:space="preserve">Other arrangements </w:t>
            </w:r>
            <w:r w:rsidR="00EE21E5" w:rsidRPr="00360490">
              <w:rPr>
                <w:rFonts w:ascii="Arial" w:hAnsi="Arial" w:cs="Arial"/>
                <w:i/>
                <w:sz w:val="20"/>
                <w:szCs w:val="20"/>
              </w:rPr>
              <w:t>(please specify)</w:t>
            </w:r>
          </w:p>
          <w:p w14:paraId="5288DB85" w14:textId="0537266D" w:rsidR="00EE21E5" w:rsidRDefault="00EE21E5" w:rsidP="00EE21E5">
            <w:pPr>
              <w:tabs>
                <w:tab w:val="left" w:pos="3330"/>
              </w:tabs>
              <w:autoSpaceDE w:val="0"/>
              <w:autoSpaceDN w:val="0"/>
              <w:adjustRightInd w:val="0"/>
              <w:jc w:val="both"/>
              <w:rPr>
                <w:rFonts w:ascii="Arial" w:hAnsi="Arial" w:cs="Arial"/>
                <w:i/>
                <w:sz w:val="20"/>
                <w:szCs w:val="20"/>
              </w:rPr>
            </w:pPr>
          </w:p>
          <w:p w14:paraId="2FC9E4A3" w14:textId="77777777" w:rsidR="00EE21E5" w:rsidRPr="00360490" w:rsidRDefault="00EE21E5" w:rsidP="00EE21E5">
            <w:pPr>
              <w:tabs>
                <w:tab w:val="left" w:pos="3330"/>
              </w:tabs>
              <w:autoSpaceDE w:val="0"/>
              <w:autoSpaceDN w:val="0"/>
              <w:adjustRightInd w:val="0"/>
              <w:jc w:val="both"/>
              <w:rPr>
                <w:rFonts w:ascii="Arial" w:hAnsi="Arial" w:cs="Arial"/>
                <w:i/>
                <w:sz w:val="20"/>
                <w:szCs w:val="20"/>
              </w:rPr>
            </w:pPr>
          </w:p>
          <w:p w14:paraId="6FA750AD" w14:textId="0C8FCBB6" w:rsidR="00EE21E5" w:rsidRPr="00360490" w:rsidRDefault="00EE21E5" w:rsidP="00EE21E5">
            <w:pPr>
              <w:tabs>
                <w:tab w:val="left" w:pos="915"/>
              </w:tabs>
              <w:autoSpaceDE w:val="0"/>
              <w:autoSpaceDN w:val="0"/>
              <w:adjustRightInd w:val="0"/>
              <w:jc w:val="both"/>
              <w:rPr>
                <w:rFonts w:ascii="Arial" w:hAnsi="Arial" w:cs="Arial"/>
                <w:sz w:val="20"/>
                <w:szCs w:val="20"/>
              </w:rPr>
            </w:pPr>
          </w:p>
        </w:tc>
      </w:tr>
      <w:tr w:rsidR="00EE21E5" w:rsidRPr="00360490" w14:paraId="6FA750BF" w14:textId="77777777" w:rsidTr="0096145F">
        <w:tc>
          <w:tcPr>
            <w:tcW w:w="819" w:type="dxa"/>
          </w:tcPr>
          <w:p w14:paraId="6FA750AF" w14:textId="4273A3A6" w:rsidR="00EE21E5" w:rsidRPr="00360490" w:rsidRDefault="00EE21E5" w:rsidP="00EE21E5">
            <w:pPr>
              <w:rPr>
                <w:rFonts w:ascii="Arial" w:hAnsi="Arial"/>
                <w:b/>
                <w:sz w:val="20"/>
                <w:szCs w:val="20"/>
              </w:rPr>
            </w:pPr>
            <w:r w:rsidRPr="00360490">
              <w:rPr>
                <w:rFonts w:ascii="Arial" w:hAnsi="Arial"/>
                <w:b/>
                <w:sz w:val="20"/>
                <w:szCs w:val="20"/>
              </w:rPr>
              <w:t>19.</w:t>
            </w:r>
          </w:p>
        </w:tc>
        <w:tc>
          <w:tcPr>
            <w:tcW w:w="2287" w:type="dxa"/>
          </w:tcPr>
          <w:p w14:paraId="6FA750B0" w14:textId="5A829C9C" w:rsidR="00EE21E5" w:rsidRPr="00360490" w:rsidRDefault="00EE21E5" w:rsidP="00EE21E5">
            <w:pPr>
              <w:rPr>
                <w:rFonts w:ascii="Arial" w:hAnsi="Arial"/>
                <w:b/>
                <w:sz w:val="20"/>
                <w:szCs w:val="20"/>
              </w:rPr>
            </w:pPr>
            <w:r w:rsidRPr="00360490">
              <w:rPr>
                <w:rFonts w:ascii="Arial" w:hAnsi="Arial"/>
                <w:b/>
                <w:sz w:val="20"/>
                <w:szCs w:val="20"/>
              </w:rPr>
              <w:t>Structure / Features</w:t>
            </w:r>
          </w:p>
        </w:tc>
        <w:tc>
          <w:tcPr>
            <w:tcW w:w="7208" w:type="dxa"/>
          </w:tcPr>
          <w:p w14:paraId="67471106" w14:textId="2A9D54D5" w:rsidR="00015D12" w:rsidRPr="00EE5546" w:rsidRDefault="00015D12" w:rsidP="00015D12">
            <w:pPr>
              <w:tabs>
                <w:tab w:val="left" w:pos="3330"/>
              </w:tabs>
              <w:autoSpaceDE w:val="0"/>
              <w:autoSpaceDN w:val="0"/>
              <w:adjustRightInd w:val="0"/>
              <w:jc w:val="both"/>
              <w:rPr>
                <w:rFonts w:ascii="Arial" w:hAnsi="Arial" w:cs="Arial"/>
                <w:sz w:val="20"/>
                <w:szCs w:val="20"/>
              </w:rPr>
            </w:pPr>
            <w:r w:rsidRPr="00EE5546">
              <w:rPr>
                <w:rFonts w:ascii="Arial" w:hAnsi="Arial" w:cs="Arial"/>
                <w:sz w:val="20"/>
                <w:szCs w:val="20"/>
              </w:rPr>
              <w:t xml:space="preserve">Implementing partner shall invest on a pari passu basis </w:t>
            </w:r>
            <w:r w:rsidRPr="00015D12">
              <w:rPr>
                <w:rFonts w:ascii="Arial" w:hAnsi="Arial" w:cs="Arial"/>
                <w:sz w:val="20"/>
                <w:szCs w:val="20"/>
              </w:rPr>
              <w:t xml:space="preserve">into each financing or investment operation </w:t>
            </w:r>
            <w:r w:rsidRPr="00EE5546">
              <w:rPr>
                <w:rFonts w:ascii="Arial" w:hAnsi="Arial" w:cs="Arial"/>
                <w:sz w:val="20"/>
                <w:szCs w:val="20"/>
              </w:rPr>
              <w:t xml:space="preserve">at their own risk for a share that ensures sufficient alignment of interests. The part of financing covered by the EU guarantee shall represent up to </w:t>
            </w:r>
            <w:r>
              <w:rPr>
                <w:rFonts w:ascii="Arial" w:hAnsi="Arial" w:cs="Arial"/>
                <w:sz w:val="20"/>
                <w:szCs w:val="20"/>
              </w:rPr>
              <w:t>[5</w:t>
            </w:r>
            <w:r w:rsidRPr="00EE5546">
              <w:rPr>
                <w:rFonts w:ascii="Arial" w:hAnsi="Arial" w:cs="Arial"/>
                <w:sz w:val="20"/>
                <w:szCs w:val="20"/>
              </w:rPr>
              <w:t>0</w:t>
            </w:r>
            <w:r>
              <w:rPr>
                <w:rFonts w:ascii="Arial" w:hAnsi="Arial" w:cs="Arial"/>
                <w:sz w:val="20"/>
                <w:szCs w:val="20"/>
              </w:rPr>
              <w:t>]</w:t>
            </w:r>
            <w:r w:rsidRPr="00EE5546">
              <w:rPr>
                <w:rFonts w:ascii="Arial" w:hAnsi="Arial" w:cs="Arial"/>
                <w:sz w:val="20"/>
                <w:szCs w:val="20"/>
              </w:rPr>
              <w:t>% of the overall financing provided by the implementing partner and own risk financing shall represent at least 5% of the overall financing provided by the implementing partner.</w:t>
            </w:r>
          </w:p>
          <w:p w14:paraId="49B6A0CA" w14:textId="4F7FE846" w:rsidR="00EE21E5" w:rsidRPr="0096145F" w:rsidRDefault="0096145F" w:rsidP="00EE21E5">
            <w:pPr>
              <w:jc w:val="both"/>
              <w:rPr>
                <w:rFonts w:ascii="Arial" w:hAnsi="Arial"/>
                <w:sz w:val="20"/>
                <w:szCs w:val="20"/>
              </w:rPr>
            </w:pPr>
            <w:r>
              <w:rPr>
                <w:rFonts w:ascii="Arial" w:hAnsi="Arial"/>
                <w:noProof/>
                <w:sz w:val="20"/>
                <w:szCs w:val="20"/>
                <w:lang w:eastAsia="en-GB"/>
              </w:rPr>
              <mc:AlternateContent>
                <mc:Choice Requires="wpg">
                  <w:drawing>
                    <wp:anchor distT="0" distB="0" distL="114300" distR="114300" simplePos="0" relativeHeight="251663872" behindDoc="0" locked="0" layoutInCell="1" allowOverlap="1" wp14:anchorId="1B9D1273" wp14:editId="48513477">
                      <wp:simplePos x="0" y="0"/>
                      <wp:positionH relativeFrom="column">
                        <wp:posOffset>641985</wp:posOffset>
                      </wp:positionH>
                      <wp:positionV relativeFrom="paragraph">
                        <wp:posOffset>147957</wp:posOffset>
                      </wp:positionV>
                      <wp:extent cx="3395980" cy="2383468"/>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3395980" cy="2383468"/>
                                <a:chOff x="0" y="0"/>
                                <a:chExt cx="3395980" cy="2383468"/>
                              </a:xfrm>
                            </wpg:grpSpPr>
                            <wpg:grpSp>
                              <wpg:cNvPr id="6" name="Group 5"/>
                              <wpg:cNvGrpSpPr/>
                              <wpg:grpSpPr>
                                <a:xfrm>
                                  <a:off x="0" y="0"/>
                                  <a:ext cx="1557306" cy="1800973"/>
                                  <a:chOff x="0" y="0"/>
                                  <a:chExt cx="1557306" cy="1800973"/>
                                </a:xfrm>
                              </wpg:grpSpPr>
                              <wps:wsp>
                                <wps:cNvPr id="2" name="Rechteck 8">
                                  <a:extLst>
                                    <a:ext uri="{FF2B5EF4-FFF2-40B4-BE49-F238E27FC236}">
                                      <a16:creationId xmlns:a16="http://schemas.microsoft.com/office/drawing/2014/main" id="{2816483D-6D24-4ECF-B9ED-BB04C86E4C76}"/>
                                    </a:ext>
                                  </a:extLst>
                                </wps:cNvPr>
                                <wps:cNvSpPr/>
                                <wps:spPr>
                                  <a:xfrm>
                                    <a:off x="787679" y="2"/>
                                    <a:ext cx="769627" cy="1800971"/>
                                  </a:xfrm>
                                  <a:prstGeom prst="rect">
                                    <a:avLst/>
                                  </a:prstGeom>
                                  <a:solidFill>
                                    <a:srgbClr val="EEECE1"/>
                                  </a:solidFill>
                                  <a:ln w="12700" cap="flat" cmpd="sng" algn="ctr">
                                    <a:solidFill>
                                      <a:srgbClr val="385D8A"/>
                                    </a:solidFill>
                                    <a:prstDash val="solid"/>
                                  </a:ln>
                                  <a:effectLst/>
                                </wps:spPr>
                                <wps:txbx>
                                  <w:txbxContent>
                                    <w:p w14:paraId="59345DE7" w14:textId="77777777" w:rsidR="00A44958" w:rsidRDefault="00A44958" w:rsidP="00A44958">
                                      <w:pPr>
                                        <w:pStyle w:val="NormalWeb"/>
                                        <w:spacing w:before="0" w:beforeAutospacing="0" w:after="0" w:afterAutospacing="0"/>
                                        <w:jc w:val="center"/>
                                      </w:pPr>
                                      <w:r>
                                        <w:rPr>
                                          <w:rFonts w:asciiTheme="majorHAnsi" w:hAnsi="Cambria" w:cstheme="minorBidi"/>
                                          <w:color w:val="0F5494"/>
                                          <w:sz w:val="40"/>
                                          <w:szCs w:val="40"/>
                                          <w:lang w:val="it-IT"/>
                                        </w:rPr>
                                        <w:t>IP</w:t>
                                      </w:r>
                                    </w:p>
                                  </w:txbxContent>
                                </wps:txbx>
                                <wps:bodyPr rtlCol="0" anchor="ctr"/>
                              </wps:wsp>
                              <wps:wsp>
                                <wps:cNvPr id="3" name="Rechteck 9">
                                  <a:extLst>
                                    <a:ext uri="{FF2B5EF4-FFF2-40B4-BE49-F238E27FC236}">
                                      <a16:creationId xmlns:a16="http://schemas.microsoft.com/office/drawing/2014/main" id="{31A292F8-0BED-4FEC-A2AB-12E813BAB4E8}"/>
                                    </a:ext>
                                  </a:extLst>
                                </wps:cNvPr>
                                <wps:cNvSpPr/>
                                <wps:spPr>
                                  <a:xfrm>
                                    <a:off x="0" y="0"/>
                                    <a:ext cx="778873" cy="1800972"/>
                                  </a:xfrm>
                                  <a:prstGeom prst="rect">
                                    <a:avLst/>
                                  </a:prstGeom>
                                  <a:solidFill>
                                    <a:srgbClr val="4F81BD"/>
                                  </a:solidFill>
                                  <a:ln w="12700" cap="flat" cmpd="sng" algn="ctr">
                                    <a:solidFill>
                                      <a:srgbClr val="4F81BD">
                                        <a:shade val="50000"/>
                                      </a:srgbClr>
                                    </a:solidFill>
                                    <a:prstDash val="solid"/>
                                  </a:ln>
                                  <a:effectLst/>
                                </wps:spPr>
                                <wps:txbx>
                                  <w:txbxContent>
                                    <w:p w14:paraId="1ED218DA" w14:textId="77777777" w:rsidR="00A44958" w:rsidRDefault="00A44958" w:rsidP="00A44958">
                                      <w:pPr>
                                        <w:pStyle w:val="NormalWeb"/>
                                        <w:spacing w:before="0" w:beforeAutospacing="0" w:after="0" w:afterAutospacing="0"/>
                                        <w:jc w:val="center"/>
                                      </w:pPr>
                                      <w:r>
                                        <w:rPr>
                                          <w:rFonts w:asciiTheme="majorHAnsi" w:hAnsi="Cambria" w:cstheme="minorBidi"/>
                                          <w:color w:val="FFFFFF" w:themeColor="background1"/>
                                          <w:sz w:val="40"/>
                                          <w:szCs w:val="40"/>
                                          <w:lang w:val="it-IT"/>
                                        </w:rPr>
                                        <w:t>COM</w:t>
                                      </w:r>
                                    </w:p>
                                  </w:txbxContent>
                                </wps:txbx>
                                <wps:bodyPr rtlCol="0" anchor="ctr"/>
                              </wps:wsp>
                            </wpg:grpSp>
                            <wps:wsp>
                              <wps:cNvPr id="63" name="TextBox 62"/>
                              <wps:cNvSpPr txBox="1"/>
                              <wps:spPr>
                                <a:xfrm>
                                  <a:off x="1607820" y="1943100"/>
                                  <a:ext cx="1788160" cy="276860"/>
                                </a:xfrm>
                                <a:prstGeom prst="rect">
                                  <a:avLst/>
                                </a:prstGeom>
                                <a:noFill/>
                              </wps:spPr>
                              <wps:txbx>
                                <w:txbxContent>
                                  <w:p w14:paraId="5FFAE18B" w14:textId="6F23B730" w:rsidR="00A44958" w:rsidRDefault="00A44958" w:rsidP="00A44958">
                                    <w:pPr>
                                      <w:pStyle w:val="NormalWeb"/>
                                      <w:spacing w:before="0" w:beforeAutospacing="0" w:after="0" w:afterAutospacing="0"/>
                                      <w:textAlignment w:val="baseline"/>
                                    </w:pPr>
                                    <w:r>
                                      <w:rPr>
                                        <w:rFonts w:asciiTheme="minorHAnsi" w:hAnsi="Calibri" w:cstheme="minorBidi"/>
                                        <w:color w:val="0F5494"/>
                                        <w:kern w:val="24"/>
                                      </w:rPr>
                                      <w:t>IP own risk at least 5%</w:t>
                                    </w:r>
                                  </w:p>
                                </w:txbxContent>
                              </wps:txbx>
                              <wps:bodyPr wrap="square" rtlCol="0">
                                <a:spAutoFit/>
                              </wps:bodyPr>
                            </wps:wsp>
                            <wps:wsp>
                              <wps:cNvPr id="64" name="Bent Arrow 63"/>
                              <wps:cNvSpPr/>
                              <wps:spPr bwMode="auto">
                                <a:xfrm flipV="1">
                                  <a:off x="1211580" y="1851660"/>
                                  <a:ext cx="340629" cy="334945"/>
                                </a:xfrm>
                                <a:prstGeom prst="bentArrow">
                                  <a:avLst>
                                    <a:gd name="adj1" fmla="val 25000"/>
                                    <a:gd name="adj2" fmla="val 23607"/>
                                    <a:gd name="adj3" fmla="val 25000"/>
                                    <a:gd name="adj4" fmla="val 43750"/>
                                  </a:avLst>
                                </a:prstGeom>
                                <a:solidFill>
                                  <a:srgbClr val="4F81BD"/>
                                </a:solidFill>
                                <a:ln w="9525" cap="flat" cmpd="sng" algn="ctr">
                                  <a:solidFill>
                                    <a:srgbClr val="EEECE1"/>
                                  </a:solidFill>
                                  <a:prstDash val="solid"/>
                                  <a:round/>
                                  <a:headEnd type="none" w="med" len="med"/>
                                  <a:tailEnd type="none" w="med" len="med"/>
                                </a:ln>
                                <a:effectLst/>
                                <a:extLst/>
                              </wps:spPr>
                              <wps:bodyPr vert="horz" wrap="square" lIns="91440" tIns="45720" rIns="91440" bIns="45720" numCol="1" rtlCol="0" anchor="ctr" anchorCtr="0" compatLnSpc="1">
                                <a:prstTxWarp prst="textNoShape">
                                  <a:avLst/>
                                </a:prstTxWarp>
                              </wps:bodyPr>
                            </wps:wsp>
                            <wps:wsp>
                              <wps:cNvPr id="68" name="Rectangle 67"/>
                              <wps:cNvSpPr/>
                              <wps:spPr>
                                <a:xfrm>
                                  <a:off x="15240" y="1912620"/>
                                  <a:ext cx="750570" cy="470848"/>
                                </a:xfrm>
                                <a:prstGeom prst="rect">
                                  <a:avLst/>
                                </a:prstGeom>
                              </wps:spPr>
                              <wps:txbx>
                                <w:txbxContent>
                                  <w:p w14:paraId="690256C2" w14:textId="57AA06CB" w:rsidR="00A44958" w:rsidRDefault="00A44958" w:rsidP="00A44958">
                                    <w:pPr>
                                      <w:pStyle w:val="NormalWeb"/>
                                      <w:spacing w:before="0" w:beforeAutospacing="0" w:after="0" w:afterAutospacing="0"/>
                                      <w:jc w:val="center"/>
                                      <w:textAlignment w:val="baseline"/>
                                    </w:pPr>
                                    <w:r>
                                      <w:rPr>
                                        <w:rFonts w:asciiTheme="majorHAnsi" w:hAnsi="Cambria" w:cstheme="minorBidi"/>
                                        <w:color w:val="0F5494"/>
                                        <w:lang w:val="it-IT"/>
                                      </w:rPr>
                                      <w:t>Up to 50%</w:t>
                                    </w:r>
                                  </w:p>
                                </w:txbxContent>
                              </wps:txbx>
                              <wps:bodyPr wrap="square">
                                <a:noAutofit/>
                              </wps:bodyPr>
                            </wps:wsp>
                          </wpg:wgp>
                        </a:graphicData>
                      </a:graphic>
                    </wp:anchor>
                  </w:drawing>
                </mc:Choice>
                <mc:Fallback>
                  <w:pict>
                    <v:group w14:anchorId="1B9D1273" id="Group 1" o:spid="_x0000_s1026" style="position:absolute;left:0;text-align:left;margin-left:50.55pt;margin-top:11.65pt;width:267.4pt;height:187.65pt;z-index:251663872" coordsize="33959,2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">
                      <v:group id="Group 5" o:spid="_x0000_s1027" style="position:absolute;width:15573;height:18009" coordsize="15573,18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8" o:spid="_x0000_s1028" style="position:absolute;left:7876;width:7697;height:18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" fillcolor="#eeece1" strokecolor="#385d8a" strokeweight="1pt">
                          <v:textbox>
                            <w:txbxContent>
                              <w:p w14:paraId="59345DE7" w14:textId="77777777" w:rsidR="00A44958" w:rsidRDefault="00A44958" w:rsidP="00A44958">
                                <w:pPr>
                                  <w:pStyle w:val="NormalWeb"/>
                                  <w:spacing w:before="0" w:beforeAutospacing="0" w:after="0" w:afterAutospacing="0"/>
                                  <w:jc w:val="center"/>
                                </w:pPr>
                                <w:r>
                                  <w:rPr>
                                    <w:rFonts w:asciiTheme="majorHAnsi" w:hAnsi="Cambria" w:cstheme="minorBidi"/>
                                    <w:color w:val="0F5494"/>
                                    <w:sz w:val="40"/>
                                    <w:szCs w:val="40"/>
                                    <w:lang w:val="it-IT"/>
                                  </w:rPr>
                                  <w:t>IP</w:t>
                                </w:r>
                              </w:p>
                            </w:txbxContent>
                          </v:textbox>
                        </v:rect>
                        <v:rect id="Rechteck 9" o:spid="_x0000_s1029" style="position:absolute;width:7788;height:18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" fillcolor="#4f81bd" strokecolor="#385d8a" strokeweight="1pt">
                          <v:textbox>
                            <w:txbxContent>
                              <w:p w14:paraId="1ED218DA" w14:textId="77777777" w:rsidR="00A44958" w:rsidRDefault="00A44958" w:rsidP="00A44958">
                                <w:pPr>
                                  <w:pStyle w:val="NormalWeb"/>
                                  <w:spacing w:before="0" w:beforeAutospacing="0" w:after="0" w:afterAutospacing="0"/>
                                  <w:jc w:val="center"/>
                                </w:pPr>
                                <w:r>
                                  <w:rPr>
                                    <w:rFonts w:asciiTheme="majorHAnsi" w:hAnsi="Cambria" w:cstheme="minorBidi"/>
                                    <w:color w:val="FFFFFF" w:themeColor="background1"/>
                                    <w:sz w:val="40"/>
                                    <w:szCs w:val="40"/>
                                    <w:lang w:val="it-IT"/>
                                  </w:rPr>
                                  <w:t>COM</w:t>
                                </w:r>
                              </w:p>
                            </w:txbxContent>
                          </v:textbox>
                        </v:rect>
                      </v:group>
                      <v:shapetype id="_x0000_t202" coordsize="21600,21600" o:spt="202" path="m,l,21600r21600,l21600,xe">
                        <v:stroke joinstyle="miter"/>
                        <v:path gradientshapeok="t" o:connecttype="rect"/>
                      </v:shapetype>
                      <v:shape id="TextBox 62" o:spid="_x0000_s1030" type="#_x0000_t202" style="position:absolute;left:16078;top:19431;width:17881;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14:paraId="5FFAE18B" w14:textId="6F23B730" w:rsidR="00A44958" w:rsidRDefault="00A44958" w:rsidP="00A44958">
                              <w:pPr>
                                <w:pStyle w:val="NormalWeb"/>
                                <w:spacing w:before="0" w:beforeAutospacing="0" w:after="0" w:afterAutospacing="0"/>
                                <w:textAlignment w:val="baseline"/>
                              </w:pPr>
                              <w:r>
                                <w:rPr>
                                  <w:rFonts w:asciiTheme="minorHAnsi" w:hAnsi="Calibri" w:cstheme="minorBidi"/>
                                  <w:color w:val="0F5494"/>
                                  <w:kern w:val="24"/>
                                </w:rPr>
                                <w:t>IP own risk at least 5%</w:t>
                              </w:r>
                            </w:p>
                          </w:txbxContent>
                        </v:textbox>
                      </v:shape>
                      <v:shape id="Bent Arrow 63" o:spid="_x0000_s1031" style="position:absolute;left:12115;top:18516;width:3407;height:3350;flip:y;visibility:visible;mso-wrap-style:square;v-text-anchor:middle" coordsize="340629,33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" path="m,334945l,183741c,102810,65607,37203,146538,37203r110355,-1l256893,r83736,79070l256893,158141r,-37202l146538,120939v-34685,,-62802,28117,-62802,62802l83736,334945,,334945xe" fillcolor="#4f81bd" strokecolor="#eeece1">
                        <v:path arrowok="t" o:connecttype="custom" o:connectlocs="0,334945;0,183741;146538,37203;256893,37202;256893,0;340629,79070;256893,158141;256893,120939;146538,120939;83736,183741;83736,334945;0,334945" o:connectangles="0,0,0,0,0,0,0,0,0,0,0,0"/>
                      </v:shape>
                      <v:rect id="Rectangle 67" o:spid="_x0000_s1032" style="position:absolute;left:152;top:19126;width:7506;height:4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textbox>
                          <w:txbxContent>
                            <w:p w14:paraId="690256C2" w14:textId="57AA06CB" w:rsidR="00A44958" w:rsidRDefault="00A44958" w:rsidP="00A44958">
                              <w:pPr>
                                <w:pStyle w:val="NormalWeb"/>
                                <w:spacing w:before="0" w:beforeAutospacing="0" w:after="0" w:afterAutospacing="0"/>
                                <w:jc w:val="center"/>
                                <w:textAlignment w:val="baseline"/>
                              </w:pPr>
                              <w:r>
                                <w:rPr>
                                  <w:rFonts w:asciiTheme="majorHAnsi" w:hAnsi="Cambria" w:cstheme="minorBidi"/>
                                  <w:color w:val="0F5494"/>
                                  <w:lang w:val="it-IT"/>
                                </w:rPr>
                                <w:t>Up to 50%</w:t>
                              </w:r>
                            </w:p>
                          </w:txbxContent>
                        </v:textbox>
                      </v:rect>
                      <w10:wrap type="topAndBottom"/>
                    </v:group>
                  </w:pict>
                </mc:Fallback>
              </mc:AlternateContent>
            </w:r>
          </w:p>
          <w:p w14:paraId="6FA750BE" w14:textId="7F9A619C" w:rsidR="00EE21E5" w:rsidRPr="00360490" w:rsidRDefault="00EE21E5" w:rsidP="00EE21E5">
            <w:pPr>
              <w:jc w:val="both"/>
              <w:rPr>
                <w:rFonts w:ascii="Arial" w:hAnsi="Arial"/>
                <w:i/>
                <w:sz w:val="20"/>
                <w:szCs w:val="20"/>
              </w:rPr>
            </w:pPr>
          </w:p>
        </w:tc>
      </w:tr>
      <w:tr w:rsidR="00EE21E5" w:rsidRPr="00360490" w14:paraId="418B4A95" w14:textId="77777777" w:rsidTr="0096145F">
        <w:tc>
          <w:tcPr>
            <w:tcW w:w="819" w:type="dxa"/>
          </w:tcPr>
          <w:p w14:paraId="4D302DE2" w14:textId="123F37A2" w:rsidR="00EE21E5" w:rsidRPr="00360490" w:rsidRDefault="00EE21E5" w:rsidP="00EE21E5">
            <w:pPr>
              <w:rPr>
                <w:rFonts w:ascii="Arial" w:hAnsi="Arial"/>
                <w:b/>
                <w:sz w:val="20"/>
                <w:szCs w:val="20"/>
              </w:rPr>
            </w:pPr>
            <w:r w:rsidRPr="00360490">
              <w:rPr>
                <w:rFonts w:ascii="Arial" w:hAnsi="Arial"/>
                <w:b/>
                <w:sz w:val="20"/>
                <w:szCs w:val="20"/>
              </w:rPr>
              <w:t>20.</w:t>
            </w:r>
          </w:p>
        </w:tc>
        <w:tc>
          <w:tcPr>
            <w:tcW w:w="2287" w:type="dxa"/>
          </w:tcPr>
          <w:p w14:paraId="4C5D12AA" w14:textId="64CFD994" w:rsidR="00EE21E5" w:rsidRPr="00360490" w:rsidRDefault="00EE21E5" w:rsidP="00EE21E5">
            <w:pPr>
              <w:rPr>
                <w:rFonts w:ascii="Arial" w:hAnsi="Arial"/>
                <w:b/>
                <w:sz w:val="20"/>
                <w:szCs w:val="20"/>
              </w:rPr>
            </w:pPr>
            <w:r w:rsidRPr="00360490">
              <w:rPr>
                <w:rFonts w:ascii="Arial" w:hAnsi="Arial"/>
                <w:b/>
                <w:sz w:val="20"/>
                <w:szCs w:val="20"/>
              </w:rPr>
              <w:t>Currency</w:t>
            </w:r>
          </w:p>
        </w:tc>
        <w:tc>
          <w:tcPr>
            <w:tcW w:w="7208" w:type="dxa"/>
          </w:tcPr>
          <w:p w14:paraId="29A1DC40" w14:textId="70731262" w:rsidR="00EE21E5" w:rsidRPr="00360490" w:rsidRDefault="00EE21E5" w:rsidP="00EE21E5">
            <w:pPr>
              <w:jc w:val="both"/>
              <w:rPr>
                <w:rFonts w:ascii="Arial" w:hAnsi="Arial"/>
                <w:i/>
                <w:sz w:val="20"/>
                <w:szCs w:val="20"/>
              </w:rPr>
            </w:pPr>
            <w:r w:rsidRPr="00301A2F">
              <w:rPr>
                <w:rFonts w:ascii="Arial" w:hAnsi="Arial"/>
                <w:sz w:val="20"/>
                <w:szCs w:val="20"/>
              </w:rPr>
              <w:t xml:space="preserve">EUR or any other EU currencies. </w:t>
            </w:r>
          </w:p>
        </w:tc>
      </w:tr>
      <w:tr w:rsidR="00EE21E5" w:rsidRPr="00360490" w14:paraId="6FA750C3" w14:textId="77777777" w:rsidTr="0096145F">
        <w:tc>
          <w:tcPr>
            <w:tcW w:w="819" w:type="dxa"/>
          </w:tcPr>
          <w:p w14:paraId="6FA750C0" w14:textId="0C279214" w:rsidR="00EE21E5" w:rsidRPr="00360490" w:rsidRDefault="00EE21E5" w:rsidP="00EE21E5">
            <w:pPr>
              <w:rPr>
                <w:rFonts w:ascii="Arial" w:hAnsi="Arial"/>
                <w:b/>
                <w:sz w:val="20"/>
                <w:szCs w:val="20"/>
              </w:rPr>
            </w:pPr>
            <w:r w:rsidRPr="00360490">
              <w:rPr>
                <w:rFonts w:ascii="Arial" w:hAnsi="Arial"/>
                <w:b/>
                <w:sz w:val="20"/>
                <w:szCs w:val="20"/>
              </w:rPr>
              <w:t>21.</w:t>
            </w:r>
          </w:p>
        </w:tc>
        <w:tc>
          <w:tcPr>
            <w:tcW w:w="2287" w:type="dxa"/>
          </w:tcPr>
          <w:p w14:paraId="6FA750C1" w14:textId="4D7D4A74" w:rsidR="00EE21E5" w:rsidRPr="00360490" w:rsidRDefault="00EE21E5" w:rsidP="00EE21E5">
            <w:pPr>
              <w:rPr>
                <w:rFonts w:ascii="Arial" w:hAnsi="Arial"/>
                <w:b/>
                <w:sz w:val="20"/>
                <w:szCs w:val="20"/>
              </w:rPr>
            </w:pPr>
            <w:r w:rsidRPr="00360490">
              <w:rPr>
                <w:rFonts w:ascii="Arial" w:hAnsi="Arial"/>
                <w:b/>
                <w:sz w:val="20"/>
                <w:szCs w:val="20"/>
              </w:rPr>
              <w:t>Events triggering  the use of the EU Guarantee</w:t>
            </w:r>
          </w:p>
        </w:tc>
        <w:tc>
          <w:tcPr>
            <w:tcW w:w="7208" w:type="dxa"/>
          </w:tcPr>
          <w:p w14:paraId="6FA750C2" w14:textId="4F10989C" w:rsidR="00EE21E5" w:rsidRPr="00360490" w:rsidRDefault="00EE21E5" w:rsidP="00EE21E5">
            <w:pPr>
              <w:rPr>
                <w:rFonts w:ascii="Arial" w:hAnsi="Arial"/>
                <w:i/>
                <w:sz w:val="20"/>
                <w:szCs w:val="20"/>
              </w:rPr>
            </w:pPr>
            <w:r w:rsidRPr="00301A2F">
              <w:rPr>
                <w:rFonts w:ascii="Arial" w:hAnsi="Arial"/>
                <w:sz w:val="20"/>
                <w:szCs w:val="20"/>
              </w:rPr>
              <w:t>To be determined in the guarantee agreement in accordance with Article 14.2(c) and 16.2 of the InvestEU regulation.</w:t>
            </w:r>
          </w:p>
        </w:tc>
      </w:tr>
      <w:tr w:rsidR="00EE21E5" w:rsidRPr="00360490" w14:paraId="3ED23AFE" w14:textId="77777777" w:rsidTr="0096145F">
        <w:tc>
          <w:tcPr>
            <w:tcW w:w="819" w:type="dxa"/>
          </w:tcPr>
          <w:p w14:paraId="2A629EE2" w14:textId="34B21605" w:rsidR="00EE21E5" w:rsidRPr="00360490" w:rsidRDefault="00EE21E5" w:rsidP="00EE21E5">
            <w:pPr>
              <w:rPr>
                <w:rFonts w:ascii="Arial" w:hAnsi="Arial"/>
                <w:b/>
                <w:sz w:val="20"/>
                <w:szCs w:val="20"/>
              </w:rPr>
            </w:pPr>
            <w:r w:rsidRPr="00360490">
              <w:rPr>
                <w:rFonts w:ascii="Arial" w:hAnsi="Arial"/>
                <w:b/>
                <w:sz w:val="20"/>
                <w:szCs w:val="20"/>
              </w:rPr>
              <w:t>22.</w:t>
            </w:r>
          </w:p>
        </w:tc>
        <w:tc>
          <w:tcPr>
            <w:tcW w:w="2287" w:type="dxa"/>
          </w:tcPr>
          <w:p w14:paraId="24760B83" w14:textId="42690E49" w:rsidR="00EE21E5" w:rsidRPr="00360490" w:rsidRDefault="00EE21E5" w:rsidP="00EE21E5">
            <w:pPr>
              <w:rPr>
                <w:rFonts w:ascii="Arial" w:hAnsi="Arial"/>
                <w:b/>
                <w:sz w:val="20"/>
                <w:szCs w:val="20"/>
              </w:rPr>
            </w:pPr>
            <w:r w:rsidRPr="00360490">
              <w:rPr>
                <w:rFonts w:ascii="Arial" w:hAnsi="Arial"/>
                <w:b/>
                <w:sz w:val="20"/>
                <w:szCs w:val="20"/>
              </w:rPr>
              <w:t>State Aid considerations</w:t>
            </w:r>
          </w:p>
        </w:tc>
        <w:tc>
          <w:tcPr>
            <w:tcW w:w="7208" w:type="dxa"/>
          </w:tcPr>
          <w:p w14:paraId="5FA45809" w14:textId="78071A22" w:rsidR="00EE21E5" w:rsidRPr="00360490" w:rsidRDefault="00EE21E5" w:rsidP="00EE21E5">
            <w:pPr>
              <w:rPr>
                <w:rFonts w:ascii="Arial" w:hAnsi="Arial"/>
                <w:i/>
                <w:sz w:val="20"/>
                <w:szCs w:val="20"/>
              </w:rPr>
            </w:pPr>
            <w:r w:rsidRPr="00301A2F">
              <w:rPr>
                <w:rFonts w:ascii="Arial" w:hAnsi="Arial" w:cs="Arial"/>
                <w:sz w:val="20"/>
                <w:szCs w:val="20"/>
              </w:rPr>
              <w:t>In case of combination with state resources in the implementation of the product described in this fiche, the dedicated GBER part will apply or other applicable state aid provisions.</w:t>
            </w:r>
            <w:r w:rsidRPr="00301A2F">
              <w:rPr>
                <w:rFonts w:ascii="Arial" w:hAnsi="Arial"/>
                <w:i/>
                <w:sz w:val="20"/>
                <w:szCs w:val="20"/>
              </w:rPr>
              <w:t xml:space="preserve"> </w:t>
            </w:r>
          </w:p>
        </w:tc>
      </w:tr>
      <w:tr w:rsidR="00EE21E5" w:rsidRPr="00360490" w14:paraId="28671F12" w14:textId="77777777" w:rsidTr="0096145F">
        <w:tc>
          <w:tcPr>
            <w:tcW w:w="819" w:type="dxa"/>
          </w:tcPr>
          <w:p w14:paraId="7ED3F1FD" w14:textId="1D28049A" w:rsidR="00EE21E5" w:rsidRPr="00360490" w:rsidRDefault="00EE21E5" w:rsidP="00EE21E5">
            <w:pPr>
              <w:rPr>
                <w:rFonts w:ascii="Arial" w:hAnsi="Arial"/>
                <w:b/>
                <w:sz w:val="20"/>
                <w:szCs w:val="20"/>
              </w:rPr>
            </w:pPr>
            <w:r w:rsidRPr="00360490">
              <w:rPr>
                <w:rFonts w:ascii="Arial" w:hAnsi="Arial"/>
                <w:b/>
                <w:sz w:val="20"/>
                <w:szCs w:val="20"/>
              </w:rPr>
              <w:t>23.</w:t>
            </w:r>
          </w:p>
        </w:tc>
        <w:tc>
          <w:tcPr>
            <w:tcW w:w="2287" w:type="dxa"/>
          </w:tcPr>
          <w:p w14:paraId="23F7643C" w14:textId="67B95BF6" w:rsidR="00EE21E5" w:rsidRPr="00360490" w:rsidRDefault="00EE21E5" w:rsidP="00EE21E5">
            <w:pPr>
              <w:rPr>
                <w:rFonts w:ascii="Arial" w:hAnsi="Arial"/>
                <w:b/>
                <w:sz w:val="20"/>
                <w:szCs w:val="20"/>
              </w:rPr>
            </w:pPr>
            <w:r w:rsidRPr="00360490">
              <w:rPr>
                <w:rFonts w:ascii="Arial" w:hAnsi="Arial"/>
                <w:b/>
                <w:sz w:val="20"/>
                <w:szCs w:val="20"/>
              </w:rPr>
              <w:t>Reporting</w:t>
            </w:r>
          </w:p>
        </w:tc>
        <w:tc>
          <w:tcPr>
            <w:tcW w:w="7208" w:type="dxa"/>
          </w:tcPr>
          <w:p w14:paraId="77545A9F" w14:textId="77777777" w:rsidR="00EE21E5" w:rsidRPr="00301A2F" w:rsidRDefault="00EE21E5" w:rsidP="00EE21E5">
            <w:pPr>
              <w:rPr>
                <w:rFonts w:ascii="Arial" w:hAnsi="Arial"/>
                <w:sz w:val="20"/>
                <w:szCs w:val="20"/>
              </w:rPr>
            </w:pPr>
            <w:r w:rsidRPr="00301A2F">
              <w:rPr>
                <w:rFonts w:ascii="Arial" w:hAnsi="Arial"/>
                <w:sz w:val="20"/>
                <w:szCs w:val="20"/>
              </w:rPr>
              <w:t>Indicators (</w:t>
            </w:r>
            <w:r w:rsidRPr="00301A2F">
              <w:rPr>
                <w:rFonts w:ascii="Arial" w:hAnsi="Arial"/>
                <w:i/>
                <w:sz w:val="20"/>
                <w:szCs w:val="20"/>
              </w:rPr>
              <w:t>Key Performance indicators/Key Monitoring Indicators to be defined</w:t>
            </w:r>
            <w:r w:rsidRPr="00301A2F">
              <w:rPr>
                <w:rFonts w:ascii="Arial" w:hAnsi="Arial"/>
                <w:sz w:val="20"/>
                <w:szCs w:val="20"/>
              </w:rPr>
              <w:t xml:space="preserve">). </w:t>
            </w:r>
          </w:p>
          <w:p w14:paraId="64CD05DF" w14:textId="7A258A88" w:rsidR="00EE21E5" w:rsidRPr="00360490" w:rsidRDefault="00EE21E5" w:rsidP="00EE21E5">
            <w:pPr>
              <w:rPr>
                <w:rFonts w:ascii="Arial" w:hAnsi="Arial"/>
                <w:i/>
                <w:sz w:val="20"/>
                <w:szCs w:val="20"/>
              </w:rPr>
            </w:pPr>
            <w:r w:rsidRPr="00301A2F">
              <w:rPr>
                <w:rFonts w:ascii="Arial" w:hAnsi="Arial"/>
                <w:sz w:val="20"/>
                <w:szCs w:val="20"/>
              </w:rPr>
              <w:t>Reporting will be done in In line with Article 22(5) of the InvestEU Regulation.</w:t>
            </w:r>
          </w:p>
        </w:tc>
      </w:tr>
      <w:tr w:rsidR="00EE21E5" w:rsidRPr="0091475F" w14:paraId="6EC053D5" w14:textId="77777777" w:rsidTr="0096145F">
        <w:tc>
          <w:tcPr>
            <w:tcW w:w="819" w:type="dxa"/>
          </w:tcPr>
          <w:p w14:paraId="375321F0" w14:textId="04FCEEA5" w:rsidR="00EE21E5" w:rsidRPr="00360490" w:rsidRDefault="00EE21E5" w:rsidP="00EE21E5">
            <w:pPr>
              <w:rPr>
                <w:rFonts w:ascii="Arial" w:hAnsi="Arial"/>
                <w:b/>
                <w:sz w:val="20"/>
                <w:szCs w:val="20"/>
              </w:rPr>
            </w:pPr>
            <w:r w:rsidRPr="00360490">
              <w:rPr>
                <w:rFonts w:ascii="Arial" w:hAnsi="Arial"/>
                <w:b/>
                <w:sz w:val="20"/>
                <w:szCs w:val="20"/>
              </w:rPr>
              <w:t>24.</w:t>
            </w:r>
          </w:p>
        </w:tc>
        <w:tc>
          <w:tcPr>
            <w:tcW w:w="2287" w:type="dxa"/>
          </w:tcPr>
          <w:p w14:paraId="0B49C57D" w14:textId="7424916D" w:rsidR="00EE21E5" w:rsidRPr="00360490" w:rsidRDefault="00EE21E5" w:rsidP="00EE21E5">
            <w:pPr>
              <w:rPr>
                <w:rFonts w:ascii="Arial" w:hAnsi="Arial"/>
                <w:b/>
                <w:sz w:val="20"/>
                <w:szCs w:val="20"/>
              </w:rPr>
            </w:pPr>
            <w:r w:rsidRPr="00360490">
              <w:rPr>
                <w:rFonts w:ascii="Arial" w:hAnsi="Arial"/>
                <w:b/>
                <w:sz w:val="20"/>
                <w:szCs w:val="20"/>
              </w:rPr>
              <w:t>Other</w:t>
            </w:r>
          </w:p>
        </w:tc>
        <w:tc>
          <w:tcPr>
            <w:tcW w:w="7208" w:type="dxa"/>
          </w:tcPr>
          <w:p w14:paraId="282A02F6" w14:textId="20E68B1A" w:rsidR="00EE21E5" w:rsidRPr="009876C6" w:rsidRDefault="009876C6" w:rsidP="00EE21E5">
            <w:pPr>
              <w:rPr>
                <w:rFonts w:ascii="Arial" w:hAnsi="Arial"/>
                <w:sz w:val="20"/>
                <w:szCs w:val="20"/>
              </w:rPr>
            </w:pPr>
            <w:r w:rsidRPr="009876C6">
              <w:rPr>
                <w:rFonts w:ascii="Arial" w:hAnsi="Arial"/>
                <w:sz w:val="20"/>
                <w:szCs w:val="20"/>
              </w:rPr>
              <w:t>N/A</w:t>
            </w:r>
          </w:p>
        </w:tc>
      </w:tr>
    </w:tbl>
    <w:p w14:paraId="6FA750C4" w14:textId="2B72CB61" w:rsidR="00C42D9C" w:rsidRDefault="00C42D9C" w:rsidP="00AB1C0D"/>
    <w:p w14:paraId="6DF10993" w14:textId="10DD3745" w:rsidR="00D55D68" w:rsidRDefault="00D55D68" w:rsidP="00AB1C0D"/>
    <w:p w14:paraId="119E0E50" w14:textId="3665B087" w:rsidR="00D55D68" w:rsidRDefault="00D55D68" w:rsidP="00AB1C0D"/>
    <w:p w14:paraId="3A17B157" w14:textId="20C79FE7" w:rsidR="00783A1F" w:rsidRDefault="00783A1F">
      <w:pPr>
        <w:rPr>
          <w:rFonts w:ascii="Arial" w:hAnsi="Arial" w:cs="Arial"/>
          <w:b/>
          <w:sz w:val="20"/>
          <w:szCs w:val="20"/>
        </w:rPr>
      </w:pPr>
    </w:p>
    <w:p w14:paraId="3533ECD5" w14:textId="0DE234FE" w:rsidR="00D55D68" w:rsidRDefault="00D55D68" w:rsidP="00D55D68">
      <w:pPr>
        <w:jc w:val="center"/>
        <w:rPr>
          <w:rFonts w:ascii="Arial" w:hAnsi="Arial" w:cs="Arial"/>
          <w:b/>
          <w:sz w:val="20"/>
          <w:szCs w:val="20"/>
        </w:rPr>
      </w:pPr>
      <w:r w:rsidRPr="00D55D68">
        <w:rPr>
          <w:rFonts w:ascii="Arial" w:hAnsi="Arial" w:cs="Arial"/>
          <w:b/>
          <w:sz w:val="20"/>
          <w:szCs w:val="20"/>
        </w:rPr>
        <w:t>Annex</w:t>
      </w:r>
    </w:p>
    <w:p w14:paraId="39940555" w14:textId="6A63160C" w:rsidR="00D85BB4" w:rsidRPr="00EE39E1" w:rsidRDefault="00D85BB4" w:rsidP="00D85BB4">
      <w:pPr>
        <w:tabs>
          <w:tab w:val="left" w:pos="1605"/>
        </w:tabs>
        <w:autoSpaceDE w:val="0"/>
        <w:autoSpaceDN w:val="0"/>
        <w:adjustRightInd w:val="0"/>
        <w:jc w:val="both"/>
        <w:rPr>
          <w:rFonts w:ascii="Arial" w:hAnsi="Arial" w:cs="Arial"/>
          <w:bCs/>
        </w:rPr>
      </w:pPr>
      <w:r w:rsidRPr="002357F2">
        <w:rPr>
          <w:rFonts w:ascii="Arial" w:hAnsi="Arial" w:cs="Arial"/>
          <w:bCs/>
        </w:rPr>
        <w:t xml:space="preserve">Final recipients </w:t>
      </w:r>
      <w:r w:rsidR="00C21E50">
        <w:rPr>
          <w:rFonts w:ascii="Arial" w:hAnsi="Arial" w:cs="Arial"/>
          <w:bCs/>
        </w:rPr>
        <w:t>shall satisfy at least one of the following c</w:t>
      </w:r>
      <w:r w:rsidRPr="002357F2">
        <w:rPr>
          <w:rFonts w:ascii="Arial" w:hAnsi="Arial" w:cs="Arial"/>
          <w:bCs/>
        </w:rPr>
        <w:t>riteria:</w:t>
      </w:r>
    </w:p>
    <w:p w14:paraId="7E9D513C" w14:textId="12591A39" w:rsidR="00D85BB4" w:rsidRDefault="00D85BB4" w:rsidP="00D85BB4">
      <w:pPr>
        <w:pStyle w:val="ListParagraph"/>
        <w:numPr>
          <w:ilvl w:val="0"/>
          <w:numId w:val="12"/>
        </w:numPr>
        <w:tabs>
          <w:tab w:val="left" w:pos="1605"/>
        </w:tabs>
        <w:autoSpaceDE w:val="0"/>
        <w:autoSpaceDN w:val="0"/>
        <w:adjustRightInd w:val="0"/>
        <w:spacing w:after="120"/>
        <w:ind w:left="714" w:hanging="357"/>
        <w:contextualSpacing w:val="0"/>
        <w:jc w:val="both"/>
        <w:rPr>
          <w:rFonts w:ascii="Arial" w:hAnsi="Arial" w:cs="Arial"/>
          <w:bCs/>
        </w:rPr>
      </w:pPr>
      <w:r w:rsidRPr="00EE39E1">
        <w:rPr>
          <w:rFonts w:ascii="Arial" w:hAnsi="Arial" w:cs="Arial"/>
          <w:bCs/>
        </w:rPr>
        <w:t>an enterprise that intends to use the InvestEU Operation to invest in producing or developing or implementing new or substantially improved (i) products, processes or services, or (ii) production or delivery methods, or (iii) organisational or process innovation including business models that are innovative</w:t>
      </w:r>
      <w:r w:rsidRPr="00617D5A">
        <w:rPr>
          <w:rFonts w:ascii="Arial" w:hAnsi="Arial" w:cs="Arial"/>
          <w:bCs/>
          <w:vertAlign w:val="superscript"/>
        </w:rPr>
        <w:footnoteReference w:id="3"/>
      </w:r>
      <w:r w:rsidRPr="00EE39E1">
        <w:rPr>
          <w:rFonts w:ascii="Arial" w:hAnsi="Arial" w:cs="Arial"/>
          <w:bCs/>
        </w:rPr>
        <w:t xml:space="preserve"> and where there is a risk of technological or</w:t>
      </w:r>
      <w:r>
        <w:rPr>
          <w:rFonts w:ascii="Arial" w:hAnsi="Arial" w:cs="Arial"/>
          <w:bCs/>
        </w:rPr>
        <w:t xml:space="preserve"> industrial or business failure</w:t>
      </w:r>
      <w:r w:rsidRPr="00EE39E1">
        <w:rPr>
          <w:rFonts w:ascii="Arial" w:hAnsi="Arial" w:cs="Arial"/>
          <w:bCs/>
        </w:rPr>
        <w:t>;</w:t>
      </w:r>
    </w:p>
    <w:p w14:paraId="7442764F" w14:textId="77777777" w:rsidR="00D85BB4" w:rsidRPr="00EE39E1" w:rsidRDefault="00D85BB4" w:rsidP="00D85BB4">
      <w:pPr>
        <w:pStyle w:val="ListParagraph"/>
        <w:numPr>
          <w:ilvl w:val="0"/>
          <w:numId w:val="12"/>
        </w:numPr>
        <w:tabs>
          <w:tab w:val="left" w:pos="1605"/>
        </w:tabs>
        <w:autoSpaceDE w:val="0"/>
        <w:autoSpaceDN w:val="0"/>
        <w:adjustRightInd w:val="0"/>
        <w:spacing w:after="120"/>
        <w:ind w:left="714" w:hanging="357"/>
        <w:contextualSpacing w:val="0"/>
        <w:jc w:val="both"/>
        <w:rPr>
          <w:rFonts w:ascii="Arial" w:hAnsi="Arial" w:cs="Arial"/>
          <w:bCs/>
        </w:rPr>
      </w:pPr>
      <w:r w:rsidRPr="00EE39E1">
        <w:rPr>
          <w:rFonts w:ascii="Arial" w:hAnsi="Arial" w:cs="Arial"/>
          <w:bCs/>
        </w:rPr>
        <w:t>a “fast-growing enterprise”, measured as follows:</w:t>
      </w:r>
    </w:p>
    <w:p w14:paraId="34C1BD4B" w14:textId="77777777" w:rsidR="00D85BB4" w:rsidRPr="00EE39E1" w:rsidRDefault="00D85BB4" w:rsidP="00D85BB4">
      <w:pPr>
        <w:pStyle w:val="ListParagraph"/>
        <w:numPr>
          <w:ilvl w:val="0"/>
          <w:numId w:val="11"/>
        </w:numPr>
        <w:tabs>
          <w:tab w:val="left" w:pos="1605"/>
          <w:tab w:val="num" w:pos="1701"/>
        </w:tabs>
        <w:autoSpaceDE w:val="0"/>
        <w:autoSpaceDN w:val="0"/>
        <w:adjustRightInd w:val="0"/>
        <w:spacing w:after="120"/>
        <w:ind w:left="1276" w:hanging="357"/>
        <w:contextualSpacing w:val="0"/>
        <w:jc w:val="both"/>
        <w:rPr>
          <w:rFonts w:ascii="Arial" w:hAnsi="Arial" w:cs="Arial"/>
          <w:bCs/>
        </w:rPr>
      </w:pPr>
      <w:r w:rsidRPr="00EE39E1">
        <w:rPr>
          <w:rFonts w:ascii="Arial" w:hAnsi="Arial" w:cs="Arial"/>
          <w:bCs/>
        </w:rPr>
        <w:t>an enterprise with average annualised growth in turnover of at least 10% over a three-year period; or</w:t>
      </w:r>
    </w:p>
    <w:p w14:paraId="0787C52F" w14:textId="77777777" w:rsidR="00D85BB4" w:rsidRPr="00EE39E1" w:rsidRDefault="00D85BB4" w:rsidP="00D85BB4">
      <w:pPr>
        <w:pStyle w:val="ListParagraph"/>
        <w:numPr>
          <w:ilvl w:val="0"/>
          <w:numId w:val="11"/>
        </w:numPr>
        <w:tabs>
          <w:tab w:val="left" w:pos="1605"/>
          <w:tab w:val="num" w:pos="1701"/>
        </w:tabs>
        <w:autoSpaceDE w:val="0"/>
        <w:autoSpaceDN w:val="0"/>
        <w:adjustRightInd w:val="0"/>
        <w:spacing w:after="120"/>
        <w:ind w:left="1276" w:hanging="357"/>
        <w:contextualSpacing w:val="0"/>
        <w:jc w:val="both"/>
        <w:rPr>
          <w:rFonts w:ascii="Arial" w:hAnsi="Arial" w:cs="Arial"/>
          <w:bCs/>
        </w:rPr>
      </w:pPr>
      <w:r w:rsidRPr="00EE39E1">
        <w:rPr>
          <w:rFonts w:ascii="Arial" w:hAnsi="Arial" w:cs="Arial"/>
          <w:bCs/>
        </w:rPr>
        <w:t>an enterprise wit</w:t>
      </w:r>
      <w:r>
        <w:rPr>
          <w:rFonts w:ascii="Arial" w:hAnsi="Arial" w:cs="Arial"/>
          <w:bCs/>
        </w:rPr>
        <w:t xml:space="preserve">h average annualised growth in </w:t>
      </w:r>
      <w:r w:rsidRPr="00EE39E1">
        <w:rPr>
          <w:rFonts w:ascii="Arial" w:hAnsi="Arial" w:cs="Arial"/>
          <w:bCs/>
        </w:rPr>
        <w:t xml:space="preserve">Full-Time Equivalent (FTE) employees of at least 5% over a three-year period and with 100 or more employees at the beginning of the observation period; or </w:t>
      </w:r>
    </w:p>
    <w:p w14:paraId="7EA454DE" w14:textId="77777777" w:rsidR="00D85BB4" w:rsidRPr="00EE39E1" w:rsidRDefault="00D85BB4" w:rsidP="00D85BB4">
      <w:pPr>
        <w:pStyle w:val="ListParagraph"/>
        <w:numPr>
          <w:ilvl w:val="0"/>
          <w:numId w:val="12"/>
        </w:numPr>
        <w:tabs>
          <w:tab w:val="left" w:pos="1605"/>
        </w:tabs>
        <w:autoSpaceDE w:val="0"/>
        <w:autoSpaceDN w:val="0"/>
        <w:adjustRightInd w:val="0"/>
        <w:spacing w:after="120"/>
        <w:ind w:left="714" w:hanging="357"/>
        <w:contextualSpacing w:val="0"/>
        <w:jc w:val="both"/>
        <w:rPr>
          <w:rFonts w:ascii="Arial" w:hAnsi="Arial" w:cs="Arial"/>
          <w:bCs/>
        </w:rPr>
      </w:pPr>
      <w:r w:rsidRPr="00EE39E1">
        <w:rPr>
          <w:rFonts w:ascii="Arial" w:hAnsi="Arial" w:cs="Arial"/>
          <w:bCs/>
        </w:rPr>
        <w:t xml:space="preserve">an enterprise that has a significant innovation potential or is an “R&amp;I-driven enterprise”, satisfying at least one of the following criteria: </w:t>
      </w:r>
    </w:p>
    <w:p w14:paraId="0158BCB7" w14:textId="77777777" w:rsidR="00D85BB4" w:rsidRPr="00EE39E1" w:rsidRDefault="00D85BB4" w:rsidP="00D85BB4">
      <w:pPr>
        <w:pStyle w:val="ListParagraph"/>
        <w:numPr>
          <w:ilvl w:val="0"/>
          <w:numId w:val="11"/>
        </w:numPr>
        <w:tabs>
          <w:tab w:val="left" w:pos="1605"/>
          <w:tab w:val="num" w:pos="1701"/>
        </w:tabs>
        <w:autoSpaceDE w:val="0"/>
        <w:autoSpaceDN w:val="0"/>
        <w:adjustRightInd w:val="0"/>
        <w:spacing w:after="120"/>
        <w:ind w:left="1276" w:hanging="357"/>
        <w:contextualSpacing w:val="0"/>
        <w:jc w:val="both"/>
        <w:rPr>
          <w:rFonts w:ascii="Arial" w:hAnsi="Arial" w:cs="Arial"/>
          <w:bCs/>
        </w:rPr>
      </w:pPr>
      <w:r w:rsidRPr="00EE39E1">
        <w:rPr>
          <w:rFonts w:ascii="Arial" w:hAnsi="Arial" w:cs="Arial"/>
          <w:bCs/>
        </w:rPr>
        <w:t>Final Recipient’s R&amp;I annual expenses are equal or exceed 20% of the Final Recipient Transaction amount as per the Final Recipient’s latest statutory financial statements, under the condition that the Final Recipient’s business plan indicates an increase of its R&amp;I expenses at least equal to the Financial Recipient Transaction amount; or</w:t>
      </w:r>
    </w:p>
    <w:p w14:paraId="444C79E5" w14:textId="77777777" w:rsidR="00D85BB4" w:rsidRPr="00EE39E1" w:rsidRDefault="00D85BB4" w:rsidP="00D85BB4">
      <w:pPr>
        <w:pStyle w:val="ListParagraph"/>
        <w:numPr>
          <w:ilvl w:val="0"/>
          <w:numId w:val="11"/>
        </w:numPr>
        <w:tabs>
          <w:tab w:val="left" w:pos="1605"/>
          <w:tab w:val="num" w:pos="1701"/>
        </w:tabs>
        <w:autoSpaceDE w:val="0"/>
        <w:autoSpaceDN w:val="0"/>
        <w:adjustRightInd w:val="0"/>
        <w:spacing w:after="120"/>
        <w:ind w:left="1276" w:hanging="357"/>
        <w:contextualSpacing w:val="0"/>
        <w:jc w:val="both"/>
        <w:rPr>
          <w:rFonts w:ascii="Arial" w:hAnsi="Arial" w:cs="Arial"/>
          <w:bCs/>
        </w:rPr>
      </w:pPr>
      <w:r w:rsidRPr="00EE39E1">
        <w:rPr>
          <w:rFonts w:ascii="Arial" w:hAnsi="Arial" w:cs="Arial"/>
          <w:bCs/>
        </w:rPr>
        <w:t xml:space="preserve">it undertakes to spend an amount at least equal to 80% of the InvestEU Operation amount in R&amp;I activities in the next 36 months as indicated in its business plan and the remainder on costs necessary to enable such activities; </w:t>
      </w:r>
    </w:p>
    <w:p w14:paraId="44ED0F9F" w14:textId="77777777" w:rsidR="00D85BB4" w:rsidRPr="00EE39E1" w:rsidRDefault="00D85BB4" w:rsidP="00D85BB4">
      <w:pPr>
        <w:pStyle w:val="ListParagraph"/>
        <w:numPr>
          <w:ilvl w:val="0"/>
          <w:numId w:val="11"/>
        </w:numPr>
        <w:tabs>
          <w:tab w:val="left" w:pos="1605"/>
          <w:tab w:val="num" w:pos="1701"/>
        </w:tabs>
        <w:autoSpaceDE w:val="0"/>
        <w:autoSpaceDN w:val="0"/>
        <w:adjustRightInd w:val="0"/>
        <w:spacing w:after="120"/>
        <w:ind w:left="1276" w:hanging="357"/>
        <w:contextualSpacing w:val="0"/>
        <w:jc w:val="both"/>
        <w:rPr>
          <w:rFonts w:ascii="Arial" w:hAnsi="Arial" w:cs="Arial"/>
          <w:bCs/>
        </w:rPr>
      </w:pPr>
      <w:r w:rsidRPr="00EE39E1">
        <w:rPr>
          <w:rFonts w:ascii="Arial" w:hAnsi="Arial" w:cs="Arial"/>
          <w:bCs/>
        </w:rPr>
        <w:t xml:space="preserve">it has been formally awarded grants, loans or guarantees from European R&amp;I support schemes (e.g. Horizon Europe) or through their funding instruments (e.g. Joint Technology Initiatives, "Eurostars") over the last 36 months; </w:t>
      </w:r>
    </w:p>
    <w:p w14:paraId="557D2C5D" w14:textId="77777777" w:rsidR="00D85BB4" w:rsidRPr="00EE39E1" w:rsidRDefault="00D85BB4" w:rsidP="00D85BB4">
      <w:pPr>
        <w:pStyle w:val="ListParagraph"/>
        <w:numPr>
          <w:ilvl w:val="0"/>
          <w:numId w:val="11"/>
        </w:numPr>
        <w:tabs>
          <w:tab w:val="left" w:pos="1605"/>
          <w:tab w:val="num" w:pos="1701"/>
        </w:tabs>
        <w:autoSpaceDE w:val="0"/>
        <w:autoSpaceDN w:val="0"/>
        <w:adjustRightInd w:val="0"/>
        <w:spacing w:after="120"/>
        <w:ind w:left="1276" w:hanging="357"/>
        <w:contextualSpacing w:val="0"/>
        <w:jc w:val="both"/>
        <w:rPr>
          <w:rFonts w:ascii="Arial" w:hAnsi="Arial" w:cs="Arial"/>
          <w:bCs/>
        </w:rPr>
      </w:pPr>
      <w:r w:rsidRPr="00EE39E1">
        <w:rPr>
          <w:rFonts w:ascii="Arial" w:hAnsi="Arial" w:cs="Arial"/>
          <w:bCs/>
        </w:rPr>
        <w:t xml:space="preserve">it has been awarded an innovation prize by an EU institution or an EU body over the last 24 months; </w:t>
      </w:r>
    </w:p>
    <w:p w14:paraId="3E1BD150" w14:textId="77777777" w:rsidR="00D85BB4" w:rsidRPr="00EE39E1" w:rsidRDefault="00D85BB4" w:rsidP="00D85BB4">
      <w:pPr>
        <w:pStyle w:val="ListParagraph"/>
        <w:numPr>
          <w:ilvl w:val="0"/>
          <w:numId w:val="11"/>
        </w:numPr>
        <w:tabs>
          <w:tab w:val="left" w:pos="1605"/>
          <w:tab w:val="num" w:pos="1701"/>
        </w:tabs>
        <w:autoSpaceDE w:val="0"/>
        <w:autoSpaceDN w:val="0"/>
        <w:adjustRightInd w:val="0"/>
        <w:spacing w:after="120"/>
        <w:ind w:left="1276" w:hanging="357"/>
        <w:contextualSpacing w:val="0"/>
        <w:jc w:val="both"/>
        <w:rPr>
          <w:rFonts w:ascii="Arial" w:hAnsi="Arial" w:cs="Arial"/>
          <w:bCs/>
        </w:rPr>
      </w:pPr>
      <w:r>
        <w:rPr>
          <w:rFonts w:ascii="Arial" w:hAnsi="Arial" w:cs="Arial"/>
          <w:bCs/>
        </w:rPr>
        <w:t xml:space="preserve">it has registered </w:t>
      </w:r>
      <w:r w:rsidRPr="00EE39E1">
        <w:rPr>
          <w:rFonts w:ascii="Arial" w:hAnsi="Arial" w:cs="Arial"/>
          <w:bCs/>
        </w:rPr>
        <w:t>technology right (such as patent, utility model, design right, topography of semiconductor products, supplementary protection certificate for medicinal products or other products for which such supplementary protection certificates may be obtained, plant breeder’s certificate or software copyright) in the last twenty-four (24) months, and the Final Recipient Transaction purpose is to enable, directly or indirectly, the use of this technology right;</w:t>
      </w:r>
    </w:p>
    <w:p w14:paraId="4C39C89F" w14:textId="77777777" w:rsidR="00D85BB4" w:rsidRPr="00EE39E1" w:rsidRDefault="00D85BB4" w:rsidP="00D85BB4">
      <w:pPr>
        <w:pStyle w:val="ListParagraph"/>
        <w:numPr>
          <w:ilvl w:val="0"/>
          <w:numId w:val="11"/>
        </w:numPr>
        <w:tabs>
          <w:tab w:val="left" w:pos="1605"/>
          <w:tab w:val="num" w:pos="1701"/>
        </w:tabs>
        <w:autoSpaceDE w:val="0"/>
        <w:autoSpaceDN w:val="0"/>
        <w:adjustRightInd w:val="0"/>
        <w:spacing w:after="120"/>
        <w:ind w:left="1276" w:hanging="357"/>
        <w:contextualSpacing w:val="0"/>
        <w:jc w:val="both"/>
        <w:rPr>
          <w:rFonts w:ascii="Arial" w:hAnsi="Arial" w:cs="Arial"/>
          <w:bCs/>
        </w:rPr>
      </w:pPr>
      <w:r w:rsidRPr="00EE39E1">
        <w:rPr>
          <w:rFonts w:ascii="Arial" w:hAnsi="Arial" w:cs="Arial"/>
          <w:bCs/>
        </w:rPr>
        <w:t xml:space="preserve">it has received an investment from a private-equity fund or from a business angel being a member of a business angel network; or such a private equity </w:t>
      </w:r>
      <w:r w:rsidRPr="00EE39E1">
        <w:rPr>
          <w:rFonts w:ascii="Arial" w:hAnsi="Arial" w:cs="Arial"/>
          <w:bCs/>
        </w:rPr>
        <w:lastRenderedPageBreak/>
        <w:t xml:space="preserve">fund or business angel is a shareholder of the InvestEU Final Recipient at the time of its application for the InvestEU operation; </w:t>
      </w:r>
    </w:p>
    <w:p w14:paraId="5FD25E71" w14:textId="77777777" w:rsidR="00D85BB4" w:rsidRPr="00EE39E1" w:rsidRDefault="00D85BB4" w:rsidP="00D85BB4">
      <w:pPr>
        <w:pStyle w:val="ListParagraph"/>
        <w:numPr>
          <w:ilvl w:val="0"/>
          <w:numId w:val="12"/>
        </w:numPr>
        <w:tabs>
          <w:tab w:val="left" w:pos="1605"/>
        </w:tabs>
        <w:autoSpaceDE w:val="0"/>
        <w:autoSpaceDN w:val="0"/>
        <w:adjustRightInd w:val="0"/>
        <w:spacing w:after="120"/>
        <w:ind w:left="714" w:hanging="357"/>
        <w:contextualSpacing w:val="0"/>
        <w:jc w:val="both"/>
        <w:rPr>
          <w:rFonts w:ascii="Arial" w:hAnsi="Arial" w:cs="Arial"/>
          <w:bCs/>
        </w:rPr>
      </w:pPr>
      <w:r w:rsidRPr="00EE39E1">
        <w:rPr>
          <w:rFonts w:ascii="Arial" w:hAnsi="Arial" w:cs="Arial"/>
          <w:bCs/>
        </w:rPr>
        <w:t>The Final Recipient is a Mid-cap and its R&amp;I costs represent:</w:t>
      </w:r>
    </w:p>
    <w:p w14:paraId="247DF75C" w14:textId="77777777" w:rsidR="00D85BB4" w:rsidRPr="00EE39E1" w:rsidRDefault="00D85BB4" w:rsidP="00D85BB4">
      <w:pPr>
        <w:pStyle w:val="ListParagraph"/>
        <w:numPr>
          <w:ilvl w:val="0"/>
          <w:numId w:val="11"/>
        </w:numPr>
        <w:tabs>
          <w:tab w:val="left" w:pos="1605"/>
          <w:tab w:val="num" w:pos="1701"/>
        </w:tabs>
        <w:autoSpaceDE w:val="0"/>
        <w:autoSpaceDN w:val="0"/>
        <w:adjustRightInd w:val="0"/>
        <w:spacing w:after="120"/>
        <w:ind w:left="1276" w:hanging="357"/>
        <w:contextualSpacing w:val="0"/>
        <w:jc w:val="both"/>
        <w:rPr>
          <w:rFonts w:ascii="Arial" w:hAnsi="Arial" w:cs="Arial"/>
          <w:bCs/>
        </w:rPr>
      </w:pPr>
      <w:r w:rsidRPr="00EE39E1">
        <w:rPr>
          <w:rFonts w:ascii="Arial" w:hAnsi="Arial" w:cs="Arial"/>
          <w:bCs/>
        </w:rPr>
        <w:t>Either, at least 15% of its total operating costs in at least one of the three years preceding the Final Recipient's application for the InvestEU Final Recipient Transaction;</w:t>
      </w:r>
      <w:r>
        <w:rPr>
          <w:rFonts w:ascii="Arial" w:hAnsi="Arial" w:cs="Arial"/>
          <w:bCs/>
        </w:rPr>
        <w:t xml:space="preserve"> or</w:t>
      </w:r>
    </w:p>
    <w:p w14:paraId="0F8743E4" w14:textId="77777777" w:rsidR="00D85BB4" w:rsidRPr="00EE39E1" w:rsidRDefault="00D85BB4" w:rsidP="00D85BB4">
      <w:pPr>
        <w:pStyle w:val="ListParagraph"/>
        <w:numPr>
          <w:ilvl w:val="0"/>
          <w:numId w:val="11"/>
        </w:numPr>
        <w:tabs>
          <w:tab w:val="left" w:pos="1605"/>
          <w:tab w:val="num" w:pos="1701"/>
        </w:tabs>
        <w:autoSpaceDE w:val="0"/>
        <w:autoSpaceDN w:val="0"/>
        <w:adjustRightInd w:val="0"/>
        <w:spacing w:after="120"/>
        <w:ind w:left="1276" w:hanging="357"/>
        <w:contextualSpacing w:val="0"/>
        <w:jc w:val="both"/>
        <w:rPr>
          <w:rFonts w:ascii="Arial" w:hAnsi="Arial" w:cs="Arial"/>
          <w:bCs/>
        </w:rPr>
      </w:pPr>
      <w:r>
        <w:rPr>
          <w:rFonts w:ascii="Arial" w:hAnsi="Arial" w:cs="Arial"/>
          <w:bCs/>
        </w:rPr>
        <w:t>A</w:t>
      </w:r>
      <w:r w:rsidRPr="00EE39E1">
        <w:rPr>
          <w:rFonts w:ascii="Arial" w:hAnsi="Arial" w:cs="Arial"/>
          <w:bCs/>
        </w:rPr>
        <w:t>t least 10% per year of its total operating costs in</w:t>
      </w:r>
      <w:r>
        <w:rPr>
          <w:rFonts w:ascii="Arial" w:hAnsi="Arial" w:cs="Arial"/>
          <w:bCs/>
        </w:rPr>
        <w:t xml:space="preserve"> each of</w:t>
      </w:r>
      <w:r w:rsidRPr="00EE39E1">
        <w:rPr>
          <w:rFonts w:ascii="Arial" w:hAnsi="Arial" w:cs="Arial"/>
          <w:bCs/>
        </w:rPr>
        <w:t xml:space="preserve"> the three years preceding the Final Recipient's application for the InvestEU Final Recipient Transaction;</w:t>
      </w:r>
    </w:p>
    <w:p w14:paraId="53442F89" w14:textId="21D04895" w:rsidR="00D85BB4" w:rsidRPr="00EE39E1" w:rsidRDefault="00D85BB4" w:rsidP="00D85BB4">
      <w:pPr>
        <w:pStyle w:val="ListParagraph"/>
        <w:numPr>
          <w:ilvl w:val="0"/>
          <w:numId w:val="12"/>
        </w:numPr>
        <w:tabs>
          <w:tab w:val="left" w:pos="1605"/>
        </w:tabs>
        <w:autoSpaceDE w:val="0"/>
        <w:autoSpaceDN w:val="0"/>
        <w:adjustRightInd w:val="0"/>
        <w:spacing w:after="120"/>
        <w:ind w:left="714" w:hanging="357"/>
        <w:contextualSpacing w:val="0"/>
        <w:jc w:val="both"/>
        <w:rPr>
          <w:rFonts w:ascii="Arial" w:hAnsi="Arial" w:cs="Arial"/>
          <w:bCs/>
        </w:rPr>
      </w:pPr>
      <w:r w:rsidRPr="00EE39E1">
        <w:rPr>
          <w:rFonts w:ascii="Arial" w:hAnsi="Arial" w:cs="Arial"/>
          <w:bCs/>
        </w:rPr>
        <w:t>it has its registered seat in a science, technology or innovation park or technology cluster or technology incubator, in each case with activities relating to R&amp;I; or</w:t>
      </w:r>
    </w:p>
    <w:p w14:paraId="79E06CF6" w14:textId="77777777" w:rsidR="00D85BB4" w:rsidRPr="00EE39E1" w:rsidRDefault="00D85BB4" w:rsidP="00D85BB4">
      <w:pPr>
        <w:pStyle w:val="ListParagraph"/>
        <w:numPr>
          <w:ilvl w:val="0"/>
          <w:numId w:val="12"/>
        </w:numPr>
        <w:tabs>
          <w:tab w:val="left" w:pos="1605"/>
        </w:tabs>
        <w:autoSpaceDE w:val="0"/>
        <w:autoSpaceDN w:val="0"/>
        <w:adjustRightInd w:val="0"/>
        <w:spacing w:after="120"/>
        <w:ind w:left="714" w:hanging="357"/>
        <w:contextualSpacing w:val="0"/>
        <w:jc w:val="both"/>
        <w:rPr>
          <w:rFonts w:ascii="Arial" w:hAnsi="Arial" w:cs="Arial"/>
          <w:bCs/>
        </w:rPr>
      </w:pPr>
      <w:r w:rsidRPr="00EE39E1">
        <w:rPr>
          <w:rFonts w:ascii="Arial" w:hAnsi="Arial" w:cs="Arial"/>
          <w:bCs/>
        </w:rPr>
        <w:t>it has benefited from tax credit or tax exemption related to investment in R&amp;I in the last 24 months.</w:t>
      </w:r>
    </w:p>
    <w:p w14:paraId="0D3DB3A0" w14:textId="77777777" w:rsidR="00D55D68" w:rsidRPr="00D55D68" w:rsidRDefault="00D55D68" w:rsidP="00D55D68">
      <w:pPr>
        <w:jc w:val="center"/>
        <w:rPr>
          <w:rFonts w:ascii="Arial" w:hAnsi="Arial" w:cs="Arial"/>
          <w:b/>
          <w:sz w:val="20"/>
          <w:szCs w:val="20"/>
        </w:rPr>
      </w:pPr>
    </w:p>
    <w:sectPr w:rsidR="00D55D68" w:rsidRPr="00D55D6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3C6B" w14:textId="77777777" w:rsidR="00477405" w:rsidRDefault="00477405" w:rsidP="00085CF4">
      <w:pPr>
        <w:spacing w:after="0" w:line="240" w:lineRule="auto"/>
      </w:pPr>
      <w:r>
        <w:separator/>
      </w:r>
    </w:p>
  </w:endnote>
  <w:endnote w:type="continuationSeparator" w:id="0">
    <w:p w14:paraId="11722A8F" w14:textId="77777777" w:rsidR="00477405" w:rsidRDefault="00477405" w:rsidP="00085CF4">
      <w:pPr>
        <w:spacing w:after="0" w:line="240" w:lineRule="auto"/>
      </w:pPr>
      <w:r>
        <w:continuationSeparator/>
      </w:r>
    </w:p>
  </w:endnote>
  <w:endnote w:type="continuationNotice" w:id="1">
    <w:p w14:paraId="5ACBAA39" w14:textId="77777777" w:rsidR="00477405" w:rsidRDefault="00477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B212" w14:textId="77777777" w:rsidR="006C26D4" w:rsidRDefault="006C2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593219"/>
      <w:docPartObj>
        <w:docPartGallery w:val="Page Numbers (Bottom of Page)"/>
        <w:docPartUnique/>
      </w:docPartObj>
    </w:sdtPr>
    <w:sdtEndPr/>
    <w:sdtContent>
      <w:sdt>
        <w:sdtPr>
          <w:id w:val="860082579"/>
          <w:docPartObj>
            <w:docPartGallery w:val="Page Numbers (Top of Page)"/>
            <w:docPartUnique/>
          </w:docPartObj>
        </w:sdtPr>
        <w:sdtEndPr/>
        <w:sdtContent>
          <w:p w14:paraId="6FA750CC" w14:textId="7DB6469A" w:rsidR="00C42D9C" w:rsidRDefault="00C42D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22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22DD">
              <w:rPr>
                <w:b/>
                <w:bCs/>
                <w:noProof/>
              </w:rPr>
              <w:t>6</w:t>
            </w:r>
            <w:r>
              <w:rPr>
                <w:b/>
                <w:bCs/>
                <w:sz w:val="24"/>
                <w:szCs w:val="24"/>
              </w:rPr>
              <w:fldChar w:fldCharType="end"/>
            </w:r>
          </w:p>
        </w:sdtContent>
      </w:sdt>
    </w:sdtContent>
  </w:sdt>
  <w:p w14:paraId="6FA750CD" w14:textId="77777777" w:rsidR="00C42D9C" w:rsidRDefault="00C42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C770" w14:textId="77777777" w:rsidR="006C26D4" w:rsidRDefault="006C2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1AD3" w14:textId="77777777" w:rsidR="00477405" w:rsidRDefault="00477405" w:rsidP="00085CF4">
      <w:pPr>
        <w:spacing w:after="0" w:line="240" w:lineRule="auto"/>
      </w:pPr>
      <w:r>
        <w:separator/>
      </w:r>
    </w:p>
  </w:footnote>
  <w:footnote w:type="continuationSeparator" w:id="0">
    <w:p w14:paraId="5CC8F3A2" w14:textId="77777777" w:rsidR="00477405" w:rsidRDefault="00477405" w:rsidP="00085CF4">
      <w:pPr>
        <w:spacing w:after="0" w:line="240" w:lineRule="auto"/>
      </w:pPr>
      <w:r>
        <w:continuationSeparator/>
      </w:r>
    </w:p>
  </w:footnote>
  <w:footnote w:type="continuationNotice" w:id="1">
    <w:p w14:paraId="7F5AA2E5" w14:textId="77777777" w:rsidR="00477405" w:rsidRDefault="00477405">
      <w:pPr>
        <w:spacing w:after="0" w:line="240" w:lineRule="auto"/>
      </w:pPr>
    </w:p>
  </w:footnote>
  <w:footnote w:id="2">
    <w:p w14:paraId="6375E1A0" w14:textId="77777777" w:rsidR="006C26D4" w:rsidRPr="008F2EDB" w:rsidRDefault="006C26D4" w:rsidP="006C26D4">
      <w:pPr>
        <w:autoSpaceDE w:val="0"/>
        <w:autoSpaceDN w:val="0"/>
        <w:adjustRightInd w:val="0"/>
        <w:spacing w:after="0" w:line="240" w:lineRule="auto"/>
        <w:rPr>
          <w:rFonts w:cstheme="minorHAnsi"/>
          <w:color w:val="0000FF"/>
          <w:sz w:val="20"/>
          <w:szCs w:val="20"/>
          <w:lang w:val="en-IE"/>
        </w:rPr>
      </w:pPr>
      <w:r w:rsidRPr="00AE2A56">
        <w:rPr>
          <w:rStyle w:val="FootnoteReference"/>
          <w:rFonts w:ascii="Arial" w:hAnsi="Arial" w:cs="Arial"/>
          <w:sz w:val="18"/>
          <w:szCs w:val="18"/>
        </w:rPr>
        <w:footnoteRef/>
      </w:r>
      <w:r w:rsidRPr="00AE2A56">
        <w:rPr>
          <w:rFonts w:ascii="Arial" w:hAnsi="Arial" w:cs="Arial"/>
          <w:sz w:val="18"/>
          <w:szCs w:val="18"/>
        </w:rPr>
        <w:t xml:space="preserve"> </w:t>
      </w:r>
      <w:r w:rsidRPr="00AE2A56">
        <w:rPr>
          <w:rFonts w:ascii="Arial" w:hAnsi="Arial" w:cs="Arial"/>
          <w:color w:val="000000"/>
          <w:sz w:val="18"/>
          <w:szCs w:val="18"/>
          <w:lang w:val="en-IE"/>
        </w:rPr>
        <w:t xml:space="preserve">Rees M. (2017). ‘Quasi-Equity: A New Financial Structure for a New Challenge’, EIB News/Blog, 16 January. </w:t>
      </w:r>
      <w:r w:rsidRPr="00AE2A56">
        <w:rPr>
          <w:rFonts w:ascii="Arial" w:hAnsi="Arial" w:cs="Arial"/>
          <w:color w:val="0000FF"/>
          <w:sz w:val="18"/>
          <w:szCs w:val="18"/>
          <w:lang w:val="en-IE"/>
        </w:rPr>
        <w:t>http://www.eib.org/infocentre/blog/all/quasi-equitya-new-financial-structure-for-a-new-challenge.htm</w:t>
      </w:r>
    </w:p>
  </w:footnote>
  <w:footnote w:id="3">
    <w:p w14:paraId="31C12389" w14:textId="77777777" w:rsidR="00D85BB4" w:rsidRPr="00AE2A56" w:rsidRDefault="00D85BB4" w:rsidP="00D85BB4">
      <w:pPr>
        <w:pStyle w:val="FootnoteText"/>
        <w:rPr>
          <w:rFonts w:ascii="Arial" w:hAnsi="Arial" w:cs="Arial"/>
          <w:sz w:val="18"/>
          <w:szCs w:val="18"/>
        </w:rPr>
      </w:pPr>
      <w:r w:rsidRPr="00AE2A56">
        <w:rPr>
          <w:rStyle w:val="FootnoteReference"/>
          <w:rFonts w:ascii="Arial" w:hAnsi="Arial" w:cs="Arial"/>
          <w:sz w:val="18"/>
          <w:szCs w:val="18"/>
        </w:rPr>
        <w:footnoteRef/>
      </w:r>
      <w:r w:rsidRPr="00AE2A56">
        <w:rPr>
          <w:rFonts w:ascii="Arial" w:hAnsi="Arial" w:cs="Arial"/>
          <w:sz w:val="18"/>
          <w:szCs w:val="18"/>
        </w:rPr>
        <w:t xml:space="preserve"> As defined in the paragraphs 15(y) and 15 (bb) of 1.3 Definitions of the Communication from the Commission C(2014) 3282 of 21 May 2014 on the Framework for state aid for research and development and innovation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7A7C" w14:textId="77777777" w:rsidR="006C26D4" w:rsidRDefault="006C2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50C9" w14:textId="5D7D3AE8" w:rsidR="00C42D9C" w:rsidRDefault="00C42D9C" w:rsidP="00085CF4">
    <w:pPr>
      <w:spacing w:after="0"/>
      <w:jc w:val="center"/>
      <w:rPr>
        <w:rFonts w:ascii="Arial" w:hAnsi="Arial"/>
        <w:b/>
        <w:sz w:val="24"/>
        <w:szCs w:val="24"/>
      </w:rPr>
    </w:pPr>
    <w:r>
      <w:rPr>
        <w:rFonts w:ascii="Arial" w:hAnsi="Arial"/>
        <w:b/>
        <w:sz w:val="24"/>
        <w:szCs w:val="24"/>
      </w:rPr>
      <w:t>InvestEU Fund – EU compartment</w:t>
    </w:r>
  </w:p>
  <w:p w14:paraId="6FA750CA" w14:textId="5A6BE13D" w:rsidR="00C42D9C" w:rsidRDefault="00315254" w:rsidP="00085CF4">
    <w:pPr>
      <w:spacing w:after="0"/>
      <w:jc w:val="center"/>
      <w:rPr>
        <w:rFonts w:ascii="Arial" w:hAnsi="Arial"/>
        <w:b/>
        <w:sz w:val="24"/>
        <w:szCs w:val="24"/>
      </w:rPr>
    </w:pPr>
    <w:r w:rsidRPr="00360490">
      <w:rPr>
        <w:rFonts w:ascii="Arial" w:hAnsi="Arial"/>
        <w:b/>
        <w:sz w:val="24"/>
        <w:szCs w:val="24"/>
      </w:rPr>
      <w:t xml:space="preserve">Financial </w:t>
    </w:r>
    <w:r w:rsidR="00C42D9C" w:rsidRPr="00360490">
      <w:rPr>
        <w:rFonts w:ascii="Arial" w:hAnsi="Arial"/>
        <w:b/>
        <w:sz w:val="24"/>
        <w:szCs w:val="24"/>
      </w:rPr>
      <w:t>P</w:t>
    </w:r>
    <w:r w:rsidR="00C42D9C" w:rsidRPr="0091475F">
      <w:rPr>
        <w:rFonts w:ascii="Arial" w:hAnsi="Arial"/>
        <w:b/>
        <w:sz w:val="24"/>
        <w:szCs w:val="24"/>
      </w:rPr>
      <w:t xml:space="preserve">roduct </w:t>
    </w:r>
    <w:r w:rsidR="00C42D9C">
      <w:rPr>
        <w:rFonts w:ascii="Arial" w:hAnsi="Arial"/>
        <w:b/>
        <w:sz w:val="24"/>
        <w:szCs w:val="24"/>
      </w:rPr>
      <w:t xml:space="preserve">Sheet </w:t>
    </w:r>
    <w:r w:rsidR="006C26D4">
      <w:rPr>
        <w:rFonts w:ascii="Arial" w:hAnsi="Arial"/>
        <w:b/>
        <w:sz w:val="24"/>
        <w:szCs w:val="24"/>
      </w:rPr>
      <w:t>RID window</w:t>
    </w:r>
  </w:p>
  <w:p w14:paraId="6FA750CB" w14:textId="4514D805" w:rsidR="00C42D9C" w:rsidRDefault="00C42D9C" w:rsidP="00085CF4">
    <w:pPr>
      <w:spacing w:after="0"/>
      <w:jc w:val="center"/>
      <w:rPr>
        <w:rFonts w:ascii="Arial" w:hAnsi="Arial"/>
        <w:b/>
        <w:sz w:val="24"/>
        <w:szCs w:val="24"/>
      </w:rPr>
    </w:pPr>
    <w:r>
      <w:rPr>
        <w:rFonts w:ascii="Arial" w:hAnsi="Arial"/>
        <w:b/>
        <w:sz w:val="24"/>
        <w:szCs w:val="24"/>
      </w:rPr>
      <w:t xml:space="preserve">- </w:t>
    </w:r>
    <w:r w:rsidR="006C26D4">
      <w:rPr>
        <w:rFonts w:ascii="Arial" w:hAnsi="Arial"/>
        <w:b/>
        <w:sz w:val="24"/>
        <w:szCs w:val="24"/>
      </w:rPr>
      <w:t>MidCap Venture Debt</w:t>
    </w:r>
    <w:r>
      <w:rPr>
        <w:rFonts w:ascii="Arial" w:hAnsi="Arial"/>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AC3C" w14:textId="77777777" w:rsidR="006C26D4" w:rsidRDefault="006C2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E33"/>
    <w:multiLevelType w:val="hybridMultilevel"/>
    <w:tmpl w:val="71C8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1419B"/>
    <w:multiLevelType w:val="hybridMultilevel"/>
    <w:tmpl w:val="349A543E"/>
    <w:lvl w:ilvl="0" w:tplc="18090001">
      <w:start w:val="1"/>
      <w:numFmt w:val="bullet"/>
      <w:lvlText w:val=""/>
      <w:lvlJc w:val="left"/>
      <w:pPr>
        <w:ind w:left="996" w:hanging="360"/>
      </w:pPr>
      <w:rPr>
        <w:rFonts w:ascii="Symbol" w:hAnsi="Symbol" w:hint="default"/>
      </w:rPr>
    </w:lvl>
    <w:lvl w:ilvl="1" w:tplc="18090003" w:tentative="1">
      <w:start w:val="1"/>
      <w:numFmt w:val="bullet"/>
      <w:lvlText w:val="o"/>
      <w:lvlJc w:val="left"/>
      <w:pPr>
        <w:ind w:left="1716" w:hanging="360"/>
      </w:pPr>
      <w:rPr>
        <w:rFonts w:ascii="Courier New" w:hAnsi="Courier New" w:cs="Courier New" w:hint="default"/>
      </w:rPr>
    </w:lvl>
    <w:lvl w:ilvl="2" w:tplc="18090005" w:tentative="1">
      <w:start w:val="1"/>
      <w:numFmt w:val="bullet"/>
      <w:lvlText w:val=""/>
      <w:lvlJc w:val="left"/>
      <w:pPr>
        <w:ind w:left="2436" w:hanging="360"/>
      </w:pPr>
      <w:rPr>
        <w:rFonts w:ascii="Wingdings" w:hAnsi="Wingdings" w:hint="default"/>
      </w:rPr>
    </w:lvl>
    <w:lvl w:ilvl="3" w:tplc="18090001" w:tentative="1">
      <w:start w:val="1"/>
      <w:numFmt w:val="bullet"/>
      <w:lvlText w:val=""/>
      <w:lvlJc w:val="left"/>
      <w:pPr>
        <w:ind w:left="3156" w:hanging="360"/>
      </w:pPr>
      <w:rPr>
        <w:rFonts w:ascii="Symbol" w:hAnsi="Symbol" w:hint="default"/>
      </w:rPr>
    </w:lvl>
    <w:lvl w:ilvl="4" w:tplc="18090003" w:tentative="1">
      <w:start w:val="1"/>
      <w:numFmt w:val="bullet"/>
      <w:lvlText w:val="o"/>
      <w:lvlJc w:val="left"/>
      <w:pPr>
        <w:ind w:left="3876" w:hanging="360"/>
      </w:pPr>
      <w:rPr>
        <w:rFonts w:ascii="Courier New" w:hAnsi="Courier New" w:cs="Courier New" w:hint="default"/>
      </w:rPr>
    </w:lvl>
    <w:lvl w:ilvl="5" w:tplc="18090005" w:tentative="1">
      <w:start w:val="1"/>
      <w:numFmt w:val="bullet"/>
      <w:lvlText w:val=""/>
      <w:lvlJc w:val="left"/>
      <w:pPr>
        <w:ind w:left="4596" w:hanging="360"/>
      </w:pPr>
      <w:rPr>
        <w:rFonts w:ascii="Wingdings" w:hAnsi="Wingdings" w:hint="default"/>
      </w:rPr>
    </w:lvl>
    <w:lvl w:ilvl="6" w:tplc="18090001" w:tentative="1">
      <w:start w:val="1"/>
      <w:numFmt w:val="bullet"/>
      <w:lvlText w:val=""/>
      <w:lvlJc w:val="left"/>
      <w:pPr>
        <w:ind w:left="5316" w:hanging="360"/>
      </w:pPr>
      <w:rPr>
        <w:rFonts w:ascii="Symbol" w:hAnsi="Symbol" w:hint="default"/>
      </w:rPr>
    </w:lvl>
    <w:lvl w:ilvl="7" w:tplc="18090003" w:tentative="1">
      <w:start w:val="1"/>
      <w:numFmt w:val="bullet"/>
      <w:lvlText w:val="o"/>
      <w:lvlJc w:val="left"/>
      <w:pPr>
        <w:ind w:left="6036" w:hanging="360"/>
      </w:pPr>
      <w:rPr>
        <w:rFonts w:ascii="Courier New" w:hAnsi="Courier New" w:cs="Courier New" w:hint="default"/>
      </w:rPr>
    </w:lvl>
    <w:lvl w:ilvl="8" w:tplc="18090005" w:tentative="1">
      <w:start w:val="1"/>
      <w:numFmt w:val="bullet"/>
      <w:lvlText w:val=""/>
      <w:lvlJc w:val="left"/>
      <w:pPr>
        <w:ind w:left="6756" w:hanging="360"/>
      </w:pPr>
      <w:rPr>
        <w:rFonts w:ascii="Wingdings" w:hAnsi="Wingdings" w:hint="default"/>
      </w:rPr>
    </w:lvl>
  </w:abstractNum>
  <w:abstractNum w:abstractNumId="2" w15:restartNumberingAfterBreak="0">
    <w:nsid w:val="1C686610"/>
    <w:multiLevelType w:val="hybridMultilevel"/>
    <w:tmpl w:val="3EBADE88"/>
    <w:lvl w:ilvl="0" w:tplc="22D0D3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713B9"/>
    <w:multiLevelType w:val="hybridMultilevel"/>
    <w:tmpl w:val="C6867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E41149"/>
    <w:multiLevelType w:val="hybridMultilevel"/>
    <w:tmpl w:val="FB7C913E"/>
    <w:lvl w:ilvl="0" w:tplc="FE36EE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16688"/>
    <w:multiLevelType w:val="hybridMultilevel"/>
    <w:tmpl w:val="FFE22B92"/>
    <w:lvl w:ilvl="0" w:tplc="93243E0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477DC8"/>
    <w:multiLevelType w:val="hybridMultilevel"/>
    <w:tmpl w:val="7714D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0D4F5C"/>
    <w:multiLevelType w:val="hybridMultilevel"/>
    <w:tmpl w:val="003A32BA"/>
    <w:lvl w:ilvl="0" w:tplc="CB7C10D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8E457F"/>
    <w:multiLevelType w:val="hybridMultilevel"/>
    <w:tmpl w:val="94C4C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5FE0493"/>
    <w:multiLevelType w:val="hybridMultilevel"/>
    <w:tmpl w:val="3F82E400"/>
    <w:lvl w:ilvl="0" w:tplc="79C4D77A">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0B64A4"/>
    <w:multiLevelType w:val="hybridMultilevel"/>
    <w:tmpl w:val="6F9AEE78"/>
    <w:lvl w:ilvl="0" w:tplc="8CCCE8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138BB"/>
    <w:multiLevelType w:val="hybridMultilevel"/>
    <w:tmpl w:val="DB0294FC"/>
    <w:lvl w:ilvl="0" w:tplc="F00EDE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4"/>
  </w:num>
  <w:num w:numId="5">
    <w:abstractNumId w:val="5"/>
  </w:num>
  <w:num w:numId="6">
    <w:abstractNumId w:val="0"/>
  </w:num>
  <w:num w:numId="7">
    <w:abstractNumId w:val="6"/>
  </w:num>
  <w:num w:numId="8">
    <w:abstractNumId w:val="3"/>
  </w:num>
  <w:num w:numId="9">
    <w:abstractNumId w:val="8"/>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38C7"/>
    <w:rsid w:val="00015D12"/>
    <w:rsid w:val="00016AAB"/>
    <w:rsid w:val="0003652B"/>
    <w:rsid w:val="00054CC8"/>
    <w:rsid w:val="0006494D"/>
    <w:rsid w:val="00076E86"/>
    <w:rsid w:val="00084BCE"/>
    <w:rsid w:val="00085CF4"/>
    <w:rsid w:val="00096C3A"/>
    <w:rsid w:val="000A1DAD"/>
    <w:rsid w:val="000B26B9"/>
    <w:rsid w:val="000C3C9F"/>
    <w:rsid w:val="000E05DB"/>
    <w:rsid w:val="0012279E"/>
    <w:rsid w:val="00133B9F"/>
    <w:rsid w:val="00144C57"/>
    <w:rsid w:val="00165C1B"/>
    <w:rsid w:val="00171B42"/>
    <w:rsid w:val="00174D72"/>
    <w:rsid w:val="00175991"/>
    <w:rsid w:val="00191E0B"/>
    <w:rsid w:val="001A2158"/>
    <w:rsid w:val="001B2333"/>
    <w:rsid w:val="001B432C"/>
    <w:rsid w:val="001C41DF"/>
    <w:rsid w:val="001F03C1"/>
    <w:rsid w:val="001F3DA8"/>
    <w:rsid w:val="001F4D3B"/>
    <w:rsid w:val="00222CC6"/>
    <w:rsid w:val="00237CD9"/>
    <w:rsid w:val="002470E2"/>
    <w:rsid w:val="00277075"/>
    <w:rsid w:val="00282456"/>
    <w:rsid w:val="00282AD3"/>
    <w:rsid w:val="00282C50"/>
    <w:rsid w:val="002C366E"/>
    <w:rsid w:val="002E759D"/>
    <w:rsid w:val="00315254"/>
    <w:rsid w:val="00326642"/>
    <w:rsid w:val="003355F7"/>
    <w:rsid w:val="00346523"/>
    <w:rsid w:val="003509AF"/>
    <w:rsid w:val="00351955"/>
    <w:rsid w:val="00354F5E"/>
    <w:rsid w:val="00357717"/>
    <w:rsid w:val="00360490"/>
    <w:rsid w:val="003638C7"/>
    <w:rsid w:val="00366351"/>
    <w:rsid w:val="00387443"/>
    <w:rsid w:val="003914DB"/>
    <w:rsid w:val="003B0377"/>
    <w:rsid w:val="003C5C9F"/>
    <w:rsid w:val="003C7A10"/>
    <w:rsid w:val="003D0914"/>
    <w:rsid w:val="003D18D0"/>
    <w:rsid w:val="003D1D01"/>
    <w:rsid w:val="003D3A25"/>
    <w:rsid w:val="003D63BF"/>
    <w:rsid w:val="003D6B33"/>
    <w:rsid w:val="003E0D97"/>
    <w:rsid w:val="003E51BB"/>
    <w:rsid w:val="003E6038"/>
    <w:rsid w:val="003F42E5"/>
    <w:rsid w:val="004052DF"/>
    <w:rsid w:val="00405527"/>
    <w:rsid w:val="0044339E"/>
    <w:rsid w:val="00477405"/>
    <w:rsid w:val="00483A8F"/>
    <w:rsid w:val="004B5E09"/>
    <w:rsid w:val="004D136D"/>
    <w:rsid w:val="004F1242"/>
    <w:rsid w:val="00502880"/>
    <w:rsid w:val="00511F54"/>
    <w:rsid w:val="00512A59"/>
    <w:rsid w:val="005177FF"/>
    <w:rsid w:val="0052254F"/>
    <w:rsid w:val="00523923"/>
    <w:rsid w:val="00525EF4"/>
    <w:rsid w:val="00543940"/>
    <w:rsid w:val="00552458"/>
    <w:rsid w:val="00561604"/>
    <w:rsid w:val="00562B27"/>
    <w:rsid w:val="00566EBA"/>
    <w:rsid w:val="00594CEC"/>
    <w:rsid w:val="005951B6"/>
    <w:rsid w:val="005A56D3"/>
    <w:rsid w:val="005B19D6"/>
    <w:rsid w:val="005B1D52"/>
    <w:rsid w:val="005B3AF9"/>
    <w:rsid w:val="005C1FDD"/>
    <w:rsid w:val="005D0EE6"/>
    <w:rsid w:val="005E36C8"/>
    <w:rsid w:val="006036AD"/>
    <w:rsid w:val="00605F9D"/>
    <w:rsid w:val="00626585"/>
    <w:rsid w:val="00627F7B"/>
    <w:rsid w:val="006644B4"/>
    <w:rsid w:val="006B2063"/>
    <w:rsid w:val="006C26D4"/>
    <w:rsid w:val="006C293F"/>
    <w:rsid w:val="006E4933"/>
    <w:rsid w:val="006E5612"/>
    <w:rsid w:val="006E623D"/>
    <w:rsid w:val="00707C8C"/>
    <w:rsid w:val="007131AB"/>
    <w:rsid w:val="00730B31"/>
    <w:rsid w:val="00731710"/>
    <w:rsid w:val="00740122"/>
    <w:rsid w:val="00747551"/>
    <w:rsid w:val="00750E07"/>
    <w:rsid w:val="007527E0"/>
    <w:rsid w:val="00770059"/>
    <w:rsid w:val="00783A1F"/>
    <w:rsid w:val="007B2472"/>
    <w:rsid w:val="007B35A7"/>
    <w:rsid w:val="007C2DBA"/>
    <w:rsid w:val="007D4667"/>
    <w:rsid w:val="007F4B1B"/>
    <w:rsid w:val="008104C7"/>
    <w:rsid w:val="00810DCE"/>
    <w:rsid w:val="00823F22"/>
    <w:rsid w:val="00824749"/>
    <w:rsid w:val="008327CA"/>
    <w:rsid w:val="008415E7"/>
    <w:rsid w:val="008420A0"/>
    <w:rsid w:val="00855650"/>
    <w:rsid w:val="00884F9D"/>
    <w:rsid w:val="00897156"/>
    <w:rsid w:val="008B334C"/>
    <w:rsid w:val="008E3B27"/>
    <w:rsid w:val="008E7CD9"/>
    <w:rsid w:val="008F2CF6"/>
    <w:rsid w:val="008F6FFE"/>
    <w:rsid w:val="009122DD"/>
    <w:rsid w:val="00915530"/>
    <w:rsid w:val="0091764D"/>
    <w:rsid w:val="009220E2"/>
    <w:rsid w:val="00930E5A"/>
    <w:rsid w:val="00944F0A"/>
    <w:rsid w:val="0096145F"/>
    <w:rsid w:val="00961502"/>
    <w:rsid w:val="009876C6"/>
    <w:rsid w:val="009952C5"/>
    <w:rsid w:val="009B5592"/>
    <w:rsid w:val="009D3CE3"/>
    <w:rsid w:val="00A01CB8"/>
    <w:rsid w:val="00A12B8D"/>
    <w:rsid w:val="00A2002F"/>
    <w:rsid w:val="00A321F0"/>
    <w:rsid w:val="00A44958"/>
    <w:rsid w:val="00A605A3"/>
    <w:rsid w:val="00A9287B"/>
    <w:rsid w:val="00A94610"/>
    <w:rsid w:val="00A970EE"/>
    <w:rsid w:val="00AB1C0D"/>
    <w:rsid w:val="00AB21DF"/>
    <w:rsid w:val="00AC3EC5"/>
    <w:rsid w:val="00AF73B8"/>
    <w:rsid w:val="00B053C7"/>
    <w:rsid w:val="00B21080"/>
    <w:rsid w:val="00B44242"/>
    <w:rsid w:val="00B4425B"/>
    <w:rsid w:val="00B74F9A"/>
    <w:rsid w:val="00BC1984"/>
    <w:rsid w:val="00BC1C65"/>
    <w:rsid w:val="00BC6C46"/>
    <w:rsid w:val="00BE05C9"/>
    <w:rsid w:val="00BF23BE"/>
    <w:rsid w:val="00BF3F10"/>
    <w:rsid w:val="00C21CAC"/>
    <w:rsid w:val="00C21E50"/>
    <w:rsid w:val="00C25EAC"/>
    <w:rsid w:val="00C4075E"/>
    <w:rsid w:val="00C42D9C"/>
    <w:rsid w:val="00C516E4"/>
    <w:rsid w:val="00C66378"/>
    <w:rsid w:val="00CA7D78"/>
    <w:rsid w:val="00CD657A"/>
    <w:rsid w:val="00CE44FD"/>
    <w:rsid w:val="00CF0FF5"/>
    <w:rsid w:val="00D03221"/>
    <w:rsid w:val="00D048B5"/>
    <w:rsid w:val="00D07BC8"/>
    <w:rsid w:val="00D10F8B"/>
    <w:rsid w:val="00D13999"/>
    <w:rsid w:val="00D15C5C"/>
    <w:rsid w:val="00D15D94"/>
    <w:rsid w:val="00D24FEE"/>
    <w:rsid w:val="00D55D68"/>
    <w:rsid w:val="00D72CCC"/>
    <w:rsid w:val="00D85BB4"/>
    <w:rsid w:val="00D9147A"/>
    <w:rsid w:val="00D93923"/>
    <w:rsid w:val="00DA5B73"/>
    <w:rsid w:val="00DA5DAC"/>
    <w:rsid w:val="00DB7B50"/>
    <w:rsid w:val="00DD1829"/>
    <w:rsid w:val="00DF61FF"/>
    <w:rsid w:val="00E00B69"/>
    <w:rsid w:val="00E10628"/>
    <w:rsid w:val="00E1762B"/>
    <w:rsid w:val="00E66C95"/>
    <w:rsid w:val="00E74618"/>
    <w:rsid w:val="00E75BA5"/>
    <w:rsid w:val="00EA3F50"/>
    <w:rsid w:val="00EA406F"/>
    <w:rsid w:val="00EB0E1D"/>
    <w:rsid w:val="00EE0315"/>
    <w:rsid w:val="00EE21E5"/>
    <w:rsid w:val="00EE62FC"/>
    <w:rsid w:val="00EF73D7"/>
    <w:rsid w:val="00F0219F"/>
    <w:rsid w:val="00F06DA9"/>
    <w:rsid w:val="00F16873"/>
    <w:rsid w:val="00F27C10"/>
    <w:rsid w:val="00F4702D"/>
    <w:rsid w:val="00F51A9F"/>
    <w:rsid w:val="00F5469E"/>
    <w:rsid w:val="00F641ED"/>
    <w:rsid w:val="00F66E23"/>
    <w:rsid w:val="00F6704F"/>
    <w:rsid w:val="00F82543"/>
    <w:rsid w:val="00FC2615"/>
    <w:rsid w:val="00FC31B8"/>
    <w:rsid w:val="00FD5D0D"/>
    <w:rsid w:val="00FE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75057"/>
  <w15:docId w15:val="{7BFAA208-CF5A-4ACA-B94A-81C37E95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8C7"/>
    <w:pPr>
      <w:ind w:left="720"/>
      <w:contextualSpacing/>
    </w:pPr>
  </w:style>
  <w:style w:type="paragraph" w:styleId="Header">
    <w:name w:val="header"/>
    <w:basedOn w:val="Normal"/>
    <w:link w:val="HeaderChar"/>
    <w:uiPriority w:val="99"/>
    <w:unhideWhenUsed/>
    <w:rsid w:val="00085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CF4"/>
  </w:style>
  <w:style w:type="paragraph" w:styleId="Footer">
    <w:name w:val="footer"/>
    <w:basedOn w:val="Normal"/>
    <w:link w:val="FooterChar"/>
    <w:uiPriority w:val="99"/>
    <w:unhideWhenUsed/>
    <w:rsid w:val="00085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CF4"/>
  </w:style>
  <w:style w:type="paragraph" w:styleId="BalloonText">
    <w:name w:val="Balloon Text"/>
    <w:basedOn w:val="Normal"/>
    <w:link w:val="BalloonTextChar"/>
    <w:uiPriority w:val="99"/>
    <w:semiHidden/>
    <w:unhideWhenUsed/>
    <w:rsid w:val="00E6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95"/>
    <w:rPr>
      <w:rFonts w:ascii="Tahoma" w:hAnsi="Tahoma" w:cs="Tahoma"/>
      <w:sz w:val="16"/>
      <w:szCs w:val="16"/>
    </w:rPr>
  </w:style>
  <w:style w:type="paragraph" w:styleId="FootnoteText">
    <w:name w:val="footnote text"/>
    <w:basedOn w:val="Normal"/>
    <w:link w:val="FootnoteTextChar"/>
    <w:uiPriority w:val="99"/>
    <w:semiHidden/>
    <w:unhideWhenUsed/>
    <w:rsid w:val="00A92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87B"/>
    <w:rPr>
      <w:sz w:val="20"/>
      <w:szCs w:val="20"/>
    </w:rPr>
  </w:style>
  <w:style w:type="character" w:styleId="FootnoteReference">
    <w:name w:val="footnote reference"/>
    <w:basedOn w:val="DefaultParagraphFont"/>
    <w:uiPriority w:val="99"/>
    <w:semiHidden/>
    <w:unhideWhenUsed/>
    <w:rsid w:val="00A9287B"/>
    <w:rPr>
      <w:vertAlign w:val="superscript"/>
    </w:rPr>
  </w:style>
  <w:style w:type="character" w:styleId="CommentReference">
    <w:name w:val="annotation reference"/>
    <w:basedOn w:val="DefaultParagraphFont"/>
    <w:uiPriority w:val="99"/>
    <w:semiHidden/>
    <w:unhideWhenUsed/>
    <w:rsid w:val="003C7A10"/>
    <w:rPr>
      <w:sz w:val="16"/>
      <w:szCs w:val="16"/>
    </w:rPr>
  </w:style>
  <w:style w:type="paragraph" w:styleId="CommentText">
    <w:name w:val="annotation text"/>
    <w:basedOn w:val="Normal"/>
    <w:link w:val="CommentTextChar"/>
    <w:uiPriority w:val="99"/>
    <w:semiHidden/>
    <w:unhideWhenUsed/>
    <w:rsid w:val="003C7A10"/>
    <w:pPr>
      <w:spacing w:line="240" w:lineRule="auto"/>
    </w:pPr>
    <w:rPr>
      <w:sz w:val="20"/>
      <w:szCs w:val="20"/>
    </w:rPr>
  </w:style>
  <w:style w:type="character" w:customStyle="1" w:styleId="CommentTextChar">
    <w:name w:val="Comment Text Char"/>
    <w:basedOn w:val="DefaultParagraphFont"/>
    <w:link w:val="CommentText"/>
    <w:uiPriority w:val="99"/>
    <w:semiHidden/>
    <w:rsid w:val="003C7A10"/>
    <w:rPr>
      <w:sz w:val="20"/>
      <w:szCs w:val="20"/>
    </w:rPr>
  </w:style>
  <w:style w:type="paragraph" w:styleId="CommentSubject">
    <w:name w:val="annotation subject"/>
    <w:basedOn w:val="CommentText"/>
    <w:next w:val="CommentText"/>
    <w:link w:val="CommentSubjectChar"/>
    <w:uiPriority w:val="99"/>
    <w:semiHidden/>
    <w:unhideWhenUsed/>
    <w:rsid w:val="003C7A10"/>
    <w:rPr>
      <w:b/>
      <w:bCs/>
    </w:rPr>
  </w:style>
  <w:style w:type="character" w:customStyle="1" w:styleId="CommentSubjectChar">
    <w:name w:val="Comment Subject Char"/>
    <w:basedOn w:val="CommentTextChar"/>
    <w:link w:val="CommentSubject"/>
    <w:uiPriority w:val="99"/>
    <w:semiHidden/>
    <w:rsid w:val="003C7A10"/>
    <w:rPr>
      <w:b/>
      <w:bCs/>
      <w:sz w:val="20"/>
      <w:szCs w:val="20"/>
    </w:rPr>
  </w:style>
  <w:style w:type="paragraph" w:styleId="Revision">
    <w:name w:val="Revision"/>
    <w:hidden/>
    <w:uiPriority w:val="99"/>
    <w:semiHidden/>
    <w:rsid w:val="00D13999"/>
    <w:pPr>
      <w:spacing w:after="0" w:line="240" w:lineRule="auto"/>
    </w:pPr>
  </w:style>
  <w:style w:type="paragraph" w:styleId="NormalWeb">
    <w:name w:val="Normal (Web)"/>
    <w:basedOn w:val="Normal"/>
    <w:uiPriority w:val="99"/>
    <w:semiHidden/>
    <w:unhideWhenUsed/>
    <w:rsid w:val="00A4495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5fa405c7-a43f-4c9c-9f5e-0b1316d1a4fa" xsi:nil="true"/>
    <EC_Collab_Status xmlns="5fa405c7-a43f-4c9c-9f5e-0b1316d1a4fa">Draft</EC_Collab_Status>
    <EC_Collab_DocumentLanguage xmlns="5fa405c7-a43f-4c9c-9f5e-0b1316d1a4fa">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0B8928D591D3342AA21DB0F77847991" ma:contentTypeVersion="0" ma:contentTypeDescription="Create a new document in this library." ma:contentTypeScope="" ma:versionID="4d4915a59cce3de5f451c17a856930e1">
  <xsd:schema xmlns:xsd="http://www.w3.org/2001/XMLSchema" xmlns:xs="http://www.w3.org/2001/XMLSchema" xmlns:p="http://schemas.microsoft.com/office/2006/metadata/properties" xmlns:ns2="http://schemas.microsoft.com/sharepoint/v3/fields" xmlns:ns3="5fa405c7-a43f-4c9c-9f5e-0b1316d1a4fa" targetNamespace="http://schemas.microsoft.com/office/2006/metadata/properties" ma:root="true" ma:fieldsID="aa1c0b034828dce037a134cb2f800631" ns2:_="" ns3:_="">
    <xsd:import namespace="http://schemas.microsoft.com/sharepoint/v3/fields"/>
    <xsd:import namespace="5fa405c7-a43f-4c9c-9f5e-0b1316d1a4f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a405c7-a43f-4c9c-9f5e-0b1316d1a4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B8CB6-2BC5-4295-8A68-79085CA902B3}">
  <ds:schemaRefs>
    <ds:schemaRef ds:uri="http://purl.org/dc/elements/1.1/"/>
    <ds:schemaRef ds:uri="http://schemas.microsoft.com/office/2006/metadata/properties"/>
    <ds:schemaRef ds:uri="5fa405c7-a43f-4c9c-9f5e-0b1316d1a4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86E988B-9213-4EC5-8FCF-5B129472695C}">
  <ds:schemaRefs>
    <ds:schemaRef ds:uri="http://schemas.microsoft.com/sharepoint/v3/contenttype/forms"/>
  </ds:schemaRefs>
</ds:datastoreItem>
</file>

<file path=customXml/itemProps3.xml><?xml version="1.0" encoding="utf-8"?>
<ds:datastoreItem xmlns:ds="http://schemas.openxmlformats.org/officeDocument/2006/customXml" ds:itemID="{56DAAF9A-F562-4253-9A68-A3465872E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fa405c7-a43f-4c9c-9f5e-0b1316d1a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E9C8D-F44C-45B2-A44A-204F1646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11077</Characters>
  <Application>Microsoft Office Word</Application>
  <DocSecurity>4</DocSecurity>
  <Lines>335</Lines>
  <Paragraphs>174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Nora.MATEI@ec.europa.eu</dc:creator>
  <cp:keywords/>
  <dc:description/>
  <cp:lastModifiedBy>CASTELLANO Letizia (ECFIN-EXT)</cp:lastModifiedBy>
  <cp:revision>2</cp:revision>
  <cp:lastPrinted>2019-01-18T14:17:00Z</cp:lastPrinted>
  <dcterms:created xsi:type="dcterms:W3CDTF">2019-11-18T14:07:00Z</dcterms:created>
  <dcterms:modified xsi:type="dcterms:W3CDTF">2019-11-18T14:07:00Z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0x010100258AA79CEB83498886A3A0868112325000B0B8928D591D3342AA21DB0F77847991</vt:lpwstr>
  </property>
  <property fmtid="{D5CDD505-2E9C-101B-9397-08002B2CF9AE}" pid="3" name="IsMyDocuments">
    <vt:bool>true</vt:bool>
  </property>
</Properties>
</file>