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459" w:tblpY="2011"/>
        <w:tblW w:w="10564" w:type="dxa"/>
        <w:tblLook w:val="04A0" w:firstRow="1" w:lastRow="0" w:firstColumn="1" w:lastColumn="0" w:noHBand="0" w:noVBand="1"/>
      </w:tblPr>
      <w:tblGrid>
        <w:gridCol w:w="803"/>
        <w:gridCol w:w="2514"/>
        <w:gridCol w:w="7247"/>
      </w:tblGrid>
      <w:tr w:rsidR="003914DB" w:rsidRPr="00360490" w14:paraId="717BC105" w14:textId="77777777" w:rsidTr="00CE0BC5">
        <w:tc>
          <w:tcPr>
            <w:tcW w:w="10564" w:type="dxa"/>
            <w:gridSpan w:val="3"/>
            <w:tcBorders>
              <w:top w:val="nil"/>
              <w:left w:val="nil"/>
              <w:right w:val="nil"/>
            </w:tcBorders>
          </w:tcPr>
          <w:p w14:paraId="7B32F5B1" w14:textId="7087EBBB" w:rsidR="00734058" w:rsidRDefault="003914DB" w:rsidP="00734058">
            <w:pPr>
              <w:jc w:val="both"/>
              <w:rPr>
                <w:rFonts w:ascii="Tahoma" w:hAnsi="Tahoma" w:cs="Tahoma"/>
              </w:rPr>
            </w:pPr>
            <w:r w:rsidRPr="00360490">
              <w:rPr>
                <w:rFonts w:ascii="Arial" w:hAnsi="Arial"/>
                <w:b/>
                <w:i/>
                <w:sz w:val="20"/>
                <w:szCs w:val="20"/>
              </w:rPr>
              <w:t>Disclaimer:</w:t>
            </w:r>
            <w:r w:rsidRPr="00360490">
              <w:rPr>
                <w:rFonts w:ascii="Arial" w:hAnsi="Arial"/>
                <w:i/>
                <w:sz w:val="20"/>
                <w:szCs w:val="20"/>
              </w:rPr>
              <w:t xml:space="preserve"> </w:t>
            </w:r>
            <w:r w:rsidR="00734058">
              <w:rPr>
                <w:rFonts w:ascii="Arial" w:hAnsi="Arial" w:cs="Arial"/>
                <w:i/>
                <w:iCs/>
                <w:sz w:val="20"/>
                <w:szCs w:val="20"/>
              </w:rPr>
              <w:t xml:space="preserve"> This is a draft fiche for a financial product under the EU compartment of the InvestEU Fund based on features included in the draft investment guidelines. The financial product fiche is intended to facilitate discussion with the potential Implementing Partners. It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entity to which it is addressed for discussions and may contain confidential and/or privileged material. This financial product fiche is meant to serve as an example for the financial product herein described. It shall not pre-empt</w:t>
            </w:r>
            <w:r w:rsidR="00734058">
              <w:rPr>
                <w:rFonts w:ascii="Arial" w:hAnsi="Arial" w:cs="Arial"/>
                <w:i/>
                <w:iCs/>
                <w:color w:val="1F497D"/>
                <w:sz w:val="20"/>
                <w:szCs w:val="20"/>
              </w:rPr>
              <w:t xml:space="preserve"> </w:t>
            </w:r>
            <w:r w:rsidR="00734058">
              <w:rPr>
                <w:rFonts w:ascii="Arial" w:hAnsi="Arial" w:cs="Arial"/>
                <w:i/>
                <w:iCs/>
                <w:sz w:val="20"/>
                <w:szCs w:val="20"/>
              </w:rPr>
              <w:t>policy prioritisation or any other aspects related to InvestEU Financial Products. An implementing partner can focus on one or more policy areas targeted by this financial product</w:t>
            </w:r>
            <w:r w:rsidR="00734058" w:rsidRPr="00734058">
              <w:rPr>
                <w:rFonts w:ascii="Arial" w:hAnsi="Arial" w:cs="Arial"/>
                <w:i/>
                <w:iCs/>
                <w:sz w:val="20"/>
                <w:szCs w:val="20"/>
              </w:rPr>
              <w:t xml:space="preserve">. </w:t>
            </w:r>
            <w:r w:rsidR="00734058" w:rsidRPr="00734058">
              <w:rPr>
                <w:i/>
              </w:rPr>
              <w:t>T</w:t>
            </w:r>
            <w:r w:rsidR="00734058">
              <w:rPr>
                <w:rFonts w:ascii="Arial" w:hAnsi="Arial" w:cs="Arial"/>
                <w:i/>
                <w:iCs/>
                <w:sz w:val="20"/>
                <w:szCs w:val="20"/>
              </w:rPr>
              <w:t>he financial product fiches should be read in combination with the policy cover notes per policy window</w:t>
            </w:r>
          </w:p>
          <w:p w14:paraId="72305003" w14:textId="3CE01283" w:rsidR="003914DB" w:rsidRPr="00360490" w:rsidRDefault="003914DB" w:rsidP="00FC2615">
            <w:pPr>
              <w:jc w:val="both"/>
              <w:rPr>
                <w:rFonts w:ascii="Arial" w:hAnsi="Arial"/>
                <w:i/>
                <w:sz w:val="20"/>
                <w:szCs w:val="20"/>
              </w:rPr>
            </w:pPr>
          </w:p>
          <w:p w14:paraId="427A8637" w14:textId="77777777" w:rsidR="003914DB" w:rsidRPr="00360490" w:rsidRDefault="003914DB" w:rsidP="00FC2615">
            <w:pPr>
              <w:jc w:val="both"/>
              <w:rPr>
                <w:rFonts w:ascii="Arial" w:hAnsi="Arial"/>
                <w:i/>
                <w:sz w:val="20"/>
                <w:szCs w:val="20"/>
              </w:rPr>
            </w:pPr>
          </w:p>
        </w:tc>
      </w:tr>
      <w:tr w:rsidR="00E10628" w:rsidRPr="00360490" w14:paraId="5BFF197B" w14:textId="77777777" w:rsidTr="00284A08">
        <w:tc>
          <w:tcPr>
            <w:tcW w:w="803" w:type="dxa"/>
          </w:tcPr>
          <w:p w14:paraId="33A8E33D" w14:textId="77777777" w:rsidR="00E10628" w:rsidRPr="00360490" w:rsidRDefault="00525EF4" w:rsidP="00543940">
            <w:pPr>
              <w:rPr>
                <w:rFonts w:ascii="Arial" w:hAnsi="Arial"/>
                <w:b/>
                <w:sz w:val="20"/>
                <w:szCs w:val="20"/>
              </w:rPr>
            </w:pPr>
            <w:r w:rsidRPr="00360490">
              <w:rPr>
                <w:rFonts w:ascii="Arial" w:hAnsi="Arial"/>
                <w:b/>
                <w:sz w:val="20"/>
                <w:szCs w:val="20"/>
              </w:rPr>
              <w:t>1.</w:t>
            </w:r>
          </w:p>
        </w:tc>
        <w:tc>
          <w:tcPr>
            <w:tcW w:w="2514" w:type="dxa"/>
          </w:tcPr>
          <w:p w14:paraId="71226FE7" w14:textId="77777777" w:rsidR="00E10628" w:rsidRPr="00360490" w:rsidRDefault="00E10628" w:rsidP="00543940">
            <w:pPr>
              <w:rPr>
                <w:rFonts w:ascii="Arial" w:hAnsi="Arial"/>
                <w:b/>
                <w:sz w:val="20"/>
                <w:szCs w:val="20"/>
              </w:rPr>
            </w:pPr>
            <w:r w:rsidRPr="00360490">
              <w:rPr>
                <w:rFonts w:ascii="Arial" w:hAnsi="Arial"/>
                <w:b/>
                <w:sz w:val="20"/>
                <w:szCs w:val="20"/>
              </w:rPr>
              <w:t>Policy Window</w:t>
            </w:r>
            <w:r w:rsidR="00133B9F" w:rsidRPr="00360490">
              <w:rPr>
                <w:rFonts w:ascii="Arial" w:hAnsi="Arial"/>
                <w:b/>
                <w:sz w:val="20"/>
                <w:szCs w:val="20"/>
              </w:rPr>
              <w:t>(s)</w:t>
            </w:r>
          </w:p>
        </w:tc>
        <w:tc>
          <w:tcPr>
            <w:tcW w:w="7247" w:type="dxa"/>
          </w:tcPr>
          <w:p w14:paraId="512BDB77" w14:textId="77777777" w:rsidR="00A01CB8" w:rsidRPr="00360490" w:rsidRDefault="00687765" w:rsidP="00A01CB8">
            <w:pPr>
              <w:autoSpaceDE w:val="0"/>
              <w:autoSpaceDN w:val="0"/>
              <w:adjustRightInd w:val="0"/>
              <w:jc w:val="both"/>
              <w:rPr>
                <w:rFonts w:ascii="Arial" w:hAnsi="Arial" w:cs="Arial"/>
                <w:sz w:val="20"/>
                <w:szCs w:val="20"/>
              </w:rPr>
            </w:pPr>
            <w:sdt>
              <w:sdtPr>
                <w:rPr>
                  <w:rFonts w:ascii="Arial" w:hAnsi="Arial" w:cs="Arial"/>
                  <w:sz w:val="20"/>
                  <w:szCs w:val="20"/>
                </w:rPr>
                <w:id w:val="2026745114"/>
                <w14:checkbox>
                  <w14:checked w14:val="0"/>
                  <w14:checkedState w14:val="2612" w14:font="MS Gothic"/>
                  <w14:uncheckedState w14:val="2610" w14:font="MS Gothic"/>
                </w14:checkbox>
              </w:sdtPr>
              <w:sdtEndPr/>
              <w:sdtContent>
                <w:r w:rsidR="00A01CB8" w:rsidRPr="00360490">
                  <w:rPr>
                    <w:rFonts w:ascii="MS Gothic" w:eastAsia="MS Gothic" w:hAnsi="MS Gothic" w:cs="Arial" w:hint="eastAsia"/>
                    <w:sz w:val="20"/>
                    <w:szCs w:val="20"/>
                  </w:rPr>
                  <w:t>☐</w:t>
                </w:r>
              </w:sdtContent>
            </w:sdt>
            <w:r w:rsidR="00A01CB8" w:rsidRPr="00360490">
              <w:rPr>
                <w:rFonts w:ascii="Arial" w:hAnsi="Arial" w:cs="Arial"/>
                <w:sz w:val="20"/>
                <w:szCs w:val="20"/>
              </w:rPr>
              <w:t xml:space="preserve"> Sustainable Infrastructure window </w:t>
            </w:r>
          </w:p>
          <w:p w14:paraId="1A8F4976" w14:textId="77777777" w:rsidR="00A01CB8" w:rsidRPr="00360490" w:rsidRDefault="00687765" w:rsidP="00A01CB8">
            <w:pPr>
              <w:autoSpaceDE w:val="0"/>
              <w:autoSpaceDN w:val="0"/>
              <w:adjustRightInd w:val="0"/>
              <w:jc w:val="both"/>
              <w:rPr>
                <w:rFonts w:ascii="Arial" w:hAnsi="Arial" w:cs="Arial"/>
                <w:sz w:val="20"/>
                <w:szCs w:val="20"/>
              </w:rPr>
            </w:pPr>
            <w:sdt>
              <w:sdtPr>
                <w:rPr>
                  <w:rFonts w:ascii="Arial" w:hAnsi="Arial" w:cs="Arial"/>
                  <w:sz w:val="20"/>
                  <w:szCs w:val="20"/>
                </w:rPr>
                <w:id w:val="430700354"/>
                <w14:checkbox>
                  <w14:checked w14:val="0"/>
                  <w14:checkedState w14:val="2612" w14:font="MS Gothic"/>
                  <w14:uncheckedState w14:val="2610" w14:font="MS Gothic"/>
                </w14:checkbox>
              </w:sdtPr>
              <w:sdtEndPr/>
              <w:sdtContent>
                <w:r w:rsidR="00A01CB8" w:rsidRPr="00360490">
                  <w:rPr>
                    <w:rFonts w:ascii="MS Gothic" w:eastAsia="MS Gothic" w:hAnsi="MS Gothic" w:cs="Arial" w:hint="eastAsia"/>
                    <w:sz w:val="20"/>
                    <w:szCs w:val="20"/>
                  </w:rPr>
                  <w:t>☐</w:t>
                </w:r>
              </w:sdtContent>
            </w:sdt>
            <w:r w:rsidR="00A01CB8" w:rsidRPr="00360490" w:rsidDel="004D136D">
              <w:rPr>
                <w:rFonts w:ascii="Arial" w:hAnsi="Arial" w:cs="Arial"/>
                <w:sz w:val="20"/>
                <w:szCs w:val="20"/>
              </w:rPr>
              <w:t xml:space="preserve"> </w:t>
            </w:r>
            <w:r w:rsidR="00A01CB8" w:rsidRPr="00360490">
              <w:rPr>
                <w:rFonts w:ascii="Arial" w:hAnsi="Arial" w:cs="Arial"/>
                <w:sz w:val="20"/>
                <w:szCs w:val="20"/>
              </w:rPr>
              <w:t>Research, Innovation and Digitisation window</w:t>
            </w:r>
          </w:p>
          <w:p w14:paraId="0601F68F" w14:textId="77777777" w:rsidR="00A01CB8" w:rsidRPr="00360490" w:rsidRDefault="00687765" w:rsidP="00A01CB8">
            <w:pPr>
              <w:jc w:val="both"/>
              <w:rPr>
                <w:rFonts w:ascii="Arial" w:hAnsi="Arial"/>
                <w:sz w:val="20"/>
                <w:szCs w:val="20"/>
              </w:rPr>
            </w:pPr>
            <w:sdt>
              <w:sdtPr>
                <w:rPr>
                  <w:rFonts w:ascii="Arial" w:hAnsi="Arial" w:cs="Arial"/>
                  <w:sz w:val="20"/>
                  <w:szCs w:val="20"/>
                </w:rPr>
                <w:id w:val="-43918100"/>
                <w14:checkbox>
                  <w14:checked w14:val="1"/>
                  <w14:checkedState w14:val="2612" w14:font="MS Gothic"/>
                  <w14:uncheckedState w14:val="2610" w14:font="MS Gothic"/>
                </w14:checkbox>
              </w:sdtPr>
              <w:sdtEndPr/>
              <w:sdtContent>
                <w:r w:rsidR="00C778B8">
                  <w:rPr>
                    <w:rFonts w:ascii="MS Gothic" w:eastAsia="MS Gothic" w:hAnsi="MS Gothic" w:cs="Arial" w:hint="eastAsia"/>
                    <w:sz w:val="20"/>
                    <w:szCs w:val="20"/>
                  </w:rPr>
                  <w:t>☒</w:t>
                </w:r>
              </w:sdtContent>
            </w:sdt>
            <w:r w:rsidR="00A01CB8" w:rsidRPr="00360490">
              <w:rPr>
                <w:rFonts w:ascii="Arial" w:hAnsi="Arial" w:cs="Arial"/>
                <w:sz w:val="20"/>
                <w:szCs w:val="20"/>
              </w:rPr>
              <w:t xml:space="preserve"> </w:t>
            </w:r>
            <w:r w:rsidR="00A01CB8" w:rsidRPr="00360490">
              <w:rPr>
                <w:rFonts w:ascii="Arial" w:hAnsi="Arial"/>
                <w:sz w:val="20"/>
                <w:szCs w:val="20"/>
              </w:rPr>
              <w:t>SME window</w:t>
            </w:r>
          </w:p>
          <w:p w14:paraId="145C7264" w14:textId="77777777" w:rsidR="00A01CB8" w:rsidRPr="00360490" w:rsidRDefault="00687765" w:rsidP="00A01CB8">
            <w:pPr>
              <w:jc w:val="both"/>
              <w:rPr>
                <w:rFonts w:ascii="Arial" w:hAnsi="Arial"/>
                <w:sz w:val="20"/>
                <w:szCs w:val="20"/>
              </w:rPr>
            </w:pPr>
            <w:sdt>
              <w:sdtPr>
                <w:rPr>
                  <w:rFonts w:ascii="Arial" w:hAnsi="Arial" w:cs="Arial"/>
                  <w:sz w:val="20"/>
                  <w:szCs w:val="20"/>
                </w:rPr>
                <w:id w:val="1681311271"/>
                <w14:checkbox>
                  <w14:checked w14:val="0"/>
                  <w14:checkedState w14:val="2612" w14:font="MS Gothic"/>
                  <w14:uncheckedState w14:val="2610" w14:font="MS Gothic"/>
                </w14:checkbox>
              </w:sdtPr>
              <w:sdtEndPr/>
              <w:sdtContent>
                <w:r w:rsidR="00A01CB8" w:rsidRPr="00360490">
                  <w:rPr>
                    <w:rFonts w:ascii="MS Gothic" w:eastAsia="MS Gothic" w:hAnsi="MS Gothic" w:cs="Arial" w:hint="eastAsia"/>
                    <w:sz w:val="20"/>
                    <w:szCs w:val="20"/>
                  </w:rPr>
                  <w:t>☐</w:t>
                </w:r>
              </w:sdtContent>
            </w:sdt>
            <w:r w:rsidR="00A01CB8" w:rsidRPr="00360490">
              <w:rPr>
                <w:rFonts w:ascii="Arial" w:hAnsi="Arial" w:cs="Arial"/>
                <w:sz w:val="20"/>
                <w:szCs w:val="20"/>
              </w:rPr>
              <w:t xml:space="preserve"> </w:t>
            </w:r>
            <w:r w:rsidR="00A01CB8" w:rsidRPr="00360490">
              <w:rPr>
                <w:rFonts w:ascii="Arial" w:hAnsi="Arial"/>
                <w:sz w:val="20"/>
                <w:szCs w:val="20"/>
              </w:rPr>
              <w:t>Social Investment and Skills window</w:t>
            </w:r>
          </w:p>
          <w:p w14:paraId="399D20C6" w14:textId="77777777" w:rsidR="00E10628" w:rsidRPr="00360490" w:rsidRDefault="00E10628" w:rsidP="00A01CB8">
            <w:pPr>
              <w:jc w:val="both"/>
              <w:rPr>
                <w:rFonts w:ascii="Arial" w:hAnsi="Arial"/>
                <w:sz w:val="20"/>
                <w:szCs w:val="20"/>
              </w:rPr>
            </w:pPr>
          </w:p>
        </w:tc>
      </w:tr>
      <w:tr w:rsidR="00FC31B8" w:rsidRPr="00360490" w14:paraId="6F88BFF9" w14:textId="77777777" w:rsidTr="00284A08">
        <w:tc>
          <w:tcPr>
            <w:tcW w:w="803" w:type="dxa"/>
          </w:tcPr>
          <w:p w14:paraId="64815D72" w14:textId="77777777" w:rsidR="00FC31B8" w:rsidRPr="00360490" w:rsidRDefault="004F1242" w:rsidP="00543940">
            <w:pPr>
              <w:rPr>
                <w:rFonts w:ascii="Arial" w:hAnsi="Arial"/>
                <w:b/>
                <w:sz w:val="20"/>
                <w:szCs w:val="20"/>
              </w:rPr>
            </w:pPr>
            <w:r w:rsidRPr="00360490">
              <w:rPr>
                <w:rFonts w:ascii="Arial" w:hAnsi="Arial"/>
                <w:b/>
                <w:sz w:val="20"/>
                <w:szCs w:val="20"/>
              </w:rPr>
              <w:t>2.</w:t>
            </w:r>
          </w:p>
        </w:tc>
        <w:tc>
          <w:tcPr>
            <w:tcW w:w="2514" w:type="dxa"/>
          </w:tcPr>
          <w:p w14:paraId="51EACF7B" w14:textId="77777777" w:rsidR="00FC31B8" w:rsidRPr="00360490" w:rsidRDefault="00FC31B8" w:rsidP="00543940">
            <w:pPr>
              <w:rPr>
                <w:rFonts w:ascii="Arial" w:hAnsi="Arial"/>
                <w:b/>
                <w:sz w:val="20"/>
                <w:szCs w:val="20"/>
              </w:rPr>
            </w:pPr>
            <w:r w:rsidRPr="00360490">
              <w:rPr>
                <w:rFonts w:ascii="Arial" w:hAnsi="Arial"/>
                <w:b/>
                <w:sz w:val="20"/>
                <w:szCs w:val="20"/>
              </w:rPr>
              <w:t>Policy Objective(s)</w:t>
            </w:r>
          </w:p>
        </w:tc>
        <w:tc>
          <w:tcPr>
            <w:tcW w:w="7247" w:type="dxa"/>
          </w:tcPr>
          <w:p w14:paraId="38267F32" w14:textId="77777777" w:rsidR="007C2534" w:rsidRDefault="000D23D8" w:rsidP="00D9147A">
            <w:pPr>
              <w:jc w:val="both"/>
              <w:rPr>
                <w:rFonts w:ascii="Arial" w:hAnsi="Arial"/>
                <w:sz w:val="20"/>
                <w:szCs w:val="20"/>
              </w:rPr>
            </w:pPr>
            <w:r>
              <w:rPr>
                <w:rFonts w:ascii="Arial" w:hAnsi="Arial"/>
                <w:sz w:val="20"/>
                <w:szCs w:val="20"/>
              </w:rPr>
              <w:t xml:space="preserve">The policy objective is to </w:t>
            </w:r>
            <w:r w:rsidR="00564EFA">
              <w:rPr>
                <w:rFonts w:ascii="Arial" w:hAnsi="Arial"/>
                <w:sz w:val="20"/>
                <w:szCs w:val="20"/>
              </w:rPr>
              <w:t xml:space="preserve">improve the competitiveness of enterprises by facilitating </w:t>
            </w:r>
            <w:r>
              <w:rPr>
                <w:rFonts w:ascii="Arial" w:hAnsi="Arial"/>
                <w:sz w:val="20"/>
                <w:szCs w:val="20"/>
              </w:rPr>
              <w:t xml:space="preserve">access to and </w:t>
            </w:r>
            <w:r w:rsidR="00590D47">
              <w:rPr>
                <w:rFonts w:ascii="Arial" w:hAnsi="Arial"/>
                <w:sz w:val="20"/>
                <w:szCs w:val="20"/>
              </w:rPr>
              <w:t xml:space="preserve">the </w:t>
            </w:r>
            <w:r>
              <w:rPr>
                <w:rFonts w:ascii="Arial" w:hAnsi="Arial"/>
                <w:sz w:val="20"/>
                <w:szCs w:val="20"/>
              </w:rPr>
              <w:t xml:space="preserve">availability of finance </w:t>
            </w:r>
            <w:r w:rsidR="00D27467">
              <w:rPr>
                <w:rFonts w:ascii="Arial" w:hAnsi="Arial"/>
                <w:sz w:val="20"/>
                <w:szCs w:val="20"/>
              </w:rPr>
              <w:t xml:space="preserve">predominantly </w:t>
            </w:r>
            <w:r w:rsidR="00564EFA">
              <w:rPr>
                <w:rFonts w:ascii="Arial" w:hAnsi="Arial"/>
                <w:sz w:val="20"/>
                <w:szCs w:val="20"/>
              </w:rPr>
              <w:t>to S</w:t>
            </w:r>
            <w:r>
              <w:rPr>
                <w:rFonts w:ascii="Arial" w:hAnsi="Arial"/>
                <w:sz w:val="20"/>
                <w:szCs w:val="20"/>
              </w:rPr>
              <w:t xml:space="preserve">MEs and </w:t>
            </w:r>
            <w:r w:rsidR="00731CD3">
              <w:rPr>
                <w:rFonts w:ascii="Arial" w:hAnsi="Arial"/>
                <w:sz w:val="20"/>
                <w:szCs w:val="20"/>
              </w:rPr>
              <w:t xml:space="preserve">also </w:t>
            </w:r>
            <w:r w:rsidR="00D130FF">
              <w:rPr>
                <w:rFonts w:ascii="Arial" w:hAnsi="Arial"/>
                <w:sz w:val="20"/>
                <w:szCs w:val="20"/>
              </w:rPr>
              <w:t xml:space="preserve">selected </w:t>
            </w:r>
            <w:r>
              <w:rPr>
                <w:rFonts w:ascii="Arial" w:hAnsi="Arial"/>
                <w:sz w:val="20"/>
                <w:szCs w:val="20"/>
              </w:rPr>
              <w:t>small midcaps which are perceived</w:t>
            </w:r>
            <w:r w:rsidR="00013847">
              <w:rPr>
                <w:rFonts w:ascii="Arial" w:hAnsi="Arial"/>
                <w:sz w:val="20"/>
                <w:szCs w:val="20"/>
              </w:rPr>
              <w:t xml:space="preserve"> by financial intermediaries </w:t>
            </w:r>
            <w:r>
              <w:rPr>
                <w:rFonts w:ascii="Arial" w:hAnsi="Arial"/>
                <w:sz w:val="20"/>
                <w:szCs w:val="20"/>
              </w:rPr>
              <w:t xml:space="preserve">as </w:t>
            </w:r>
            <w:r w:rsidR="00046076">
              <w:rPr>
                <w:rFonts w:ascii="Arial" w:hAnsi="Arial"/>
                <w:sz w:val="20"/>
                <w:szCs w:val="20"/>
              </w:rPr>
              <w:t xml:space="preserve">being </w:t>
            </w:r>
            <w:r w:rsidR="00013847">
              <w:rPr>
                <w:rFonts w:ascii="Arial" w:hAnsi="Arial"/>
                <w:sz w:val="20"/>
                <w:szCs w:val="20"/>
              </w:rPr>
              <w:t xml:space="preserve">high risk </w:t>
            </w:r>
            <w:r w:rsidR="00046076">
              <w:rPr>
                <w:rFonts w:ascii="Arial" w:hAnsi="Arial"/>
                <w:sz w:val="20"/>
                <w:szCs w:val="20"/>
              </w:rPr>
              <w:t xml:space="preserve">or </w:t>
            </w:r>
            <w:r>
              <w:rPr>
                <w:rFonts w:ascii="Arial" w:hAnsi="Arial"/>
                <w:sz w:val="20"/>
                <w:szCs w:val="20"/>
              </w:rPr>
              <w:t>lack</w:t>
            </w:r>
            <w:r w:rsidR="00046076">
              <w:rPr>
                <w:rFonts w:ascii="Arial" w:hAnsi="Arial"/>
                <w:sz w:val="20"/>
                <w:szCs w:val="20"/>
              </w:rPr>
              <w:t>ing</w:t>
            </w:r>
            <w:r>
              <w:rPr>
                <w:rFonts w:ascii="Arial" w:hAnsi="Arial"/>
                <w:sz w:val="20"/>
                <w:szCs w:val="20"/>
              </w:rPr>
              <w:t xml:space="preserve"> sufficient collateral.</w:t>
            </w:r>
            <w:r w:rsidR="00D130FF">
              <w:rPr>
                <w:rFonts w:ascii="Arial" w:hAnsi="Arial"/>
                <w:sz w:val="20"/>
                <w:szCs w:val="20"/>
              </w:rPr>
              <w:t xml:space="preserve"> </w:t>
            </w:r>
          </w:p>
          <w:p w14:paraId="37EA6F04" w14:textId="77777777" w:rsidR="007C2534" w:rsidRDefault="007C2534" w:rsidP="00D9147A">
            <w:pPr>
              <w:jc w:val="both"/>
              <w:rPr>
                <w:rFonts w:ascii="Arial" w:hAnsi="Arial"/>
                <w:sz w:val="20"/>
                <w:szCs w:val="20"/>
              </w:rPr>
            </w:pPr>
          </w:p>
          <w:p w14:paraId="37B1BBBA" w14:textId="77777777" w:rsidR="00D130FF" w:rsidRDefault="00013847" w:rsidP="00D9147A">
            <w:pPr>
              <w:jc w:val="both"/>
              <w:rPr>
                <w:rFonts w:ascii="Arial" w:hAnsi="Arial"/>
                <w:sz w:val="20"/>
                <w:szCs w:val="20"/>
              </w:rPr>
            </w:pPr>
            <w:r>
              <w:rPr>
                <w:rFonts w:ascii="Arial" w:hAnsi="Arial"/>
                <w:sz w:val="20"/>
                <w:szCs w:val="20"/>
              </w:rPr>
              <w:t xml:space="preserve">Within this target group of final recipients, </w:t>
            </w:r>
            <w:r w:rsidR="00F77804">
              <w:rPr>
                <w:rFonts w:ascii="Arial" w:hAnsi="Arial"/>
                <w:sz w:val="20"/>
                <w:szCs w:val="20"/>
              </w:rPr>
              <w:t xml:space="preserve">enhanced support shall be provided </w:t>
            </w:r>
            <w:r w:rsidR="000D23D8">
              <w:rPr>
                <w:rFonts w:ascii="Arial" w:hAnsi="Arial"/>
                <w:sz w:val="20"/>
                <w:szCs w:val="20"/>
              </w:rPr>
              <w:t xml:space="preserve">to </w:t>
            </w:r>
            <w:r w:rsidR="00F77804">
              <w:rPr>
                <w:rFonts w:ascii="Arial" w:hAnsi="Arial"/>
                <w:sz w:val="20"/>
                <w:szCs w:val="20"/>
              </w:rPr>
              <w:t xml:space="preserve">final recipient transactions </w:t>
            </w:r>
            <w:r w:rsidR="00590D47">
              <w:rPr>
                <w:rFonts w:ascii="Arial" w:hAnsi="Arial"/>
                <w:sz w:val="20"/>
                <w:szCs w:val="20"/>
              </w:rPr>
              <w:t>which</w:t>
            </w:r>
            <w:r w:rsidR="000D23D8">
              <w:rPr>
                <w:rFonts w:ascii="Arial" w:hAnsi="Arial"/>
                <w:sz w:val="20"/>
                <w:szCs w:val="20"/>
              </w:rPr>
              <w:t xml:space="preserve"> focus on intangible assests</w:t>
            </w:r>
            <w:r w:rsidR="00046076">
              <w:rPr>
                <w:rFonts w:ascii="Arial" w:hAnsi="Arial"/>
                <w:sz w:val="20"/>
                <w:szCs w:val="20"/>
              </w:rPr>
              <w:t xml:space="preserve">, engage in risky </w:t>
            </w:r>
            <w:r w:rsidR="000D23D8">
              <w:rPr>
                <w:rFonts w:ascii="Arial" w:hAnsi="Arial"/>
                <w:sz w:val="20"/>
                <w:szCs w:val="20"/>
              </w:rPr>
              <w:t xml:space="preserve">innovation </w:t>
            </w:r>
            <w:r>
              <w:rPr>
                <w:rFonts w:ascii="Arial" w:hAnsi="Arial"/>
                <w:sz w:val="20"/>
                <w:szCs w:val="20"/>
              </w:rPr>
              <w:t xml:space="preserve">or transformative </w:t>
            </w:r>
            <w:r w:rsidR="000D23D8">
              <w:rPr>
                <w:rFonts w:ascii="Arial" w:hAnsi="Arial"/>
                <w:sz w:val="20"/>
                <w:szCs w:val="20"/>
              </w:rPr>
              <w:t>digitalisation</w:t>
            </w:r>
            <w:r>
              <w:rPr>
                <w:rFonts w:ascii="Arial" w:hAnsi="Arial"/>
                <w:sz w:val="20"/>
                <w:szCs w:val="20"/>
              </w:rPr>
              <w:t xml:space="preserve"> activities</w:t>
            </w:r>
            <w:r w:rsidR="00590D47">
              <w:rPr>
                <w:rFonts w:ascii="Arial" w:hAnsi="Arial"/>
                <w:sz w:val="20"/>
                <w:szCs w:val="20"/>
              </w:rPr>
              <w:t>,</w:t>
            </w:r>
            <w:r w:rsidR="000D23D8">
              <w:rPr>
                <w:rFonts w:ascii="Arial" w:hAnsi="Arial"/>
                <w:sz w:val="20"/>
                <w:szCs w:val="20"/>
              </w:rPr>
              <w:t xml:space="preserve"> and</w:t>
            </w:r>
            <w:r w:rsidR="00590D47">
              <w:rPr>
                <w:rFonts w:ascii="Arial" w:hAnsi="Arial"/>
                <w:sz w:val="20"/>
                <w:szCs w:val="20"/>
              </w:rPr>
              <w:t xml:space="preserve"> </w:t>
            </w:r>
            <w:r w:rsidR="00F77804">
              <w:rPr>
                <w:rFonts w:ascii="Arial" w:hAnsi="Arial"/>
                <w:sz w:val="20"/>
                <w:szCs w:val="20"/>
              </w:rPr>
              <w:t xml:space="preserve">for entities </w:t>
            </w:r>
            <w:r w:rsidR="000D23D8">
              <w:rPr>
                <w:rFonts w:ascii="Arial" w:hAnsi="Arial"/>
                <w:sz w:val="20"/>
                <w:szCs w:val="20"/>
              </w:rPr>
              <w:t>in the cultural and creative sector.</w:t>
            </w:r>
            <w:r w:rsidR="00D130FF">
              <w:rPr>
                <w:rFonts w:ascii="Arial" w:hAnsi="Arial"/>
                <w:sz w:val="20"/>
                <w:szCs w:val="20"/>
              </w:rPr>
              <w:t xml:space="preserve"> [</w:t>
            </w:r>
            <w:r w:rsidR="00D130FF" w:rsidRPr="00766559">
              <w:rPr>
                <w:rFonts w:ascii="Arial" w:hAnsi="Arial"/>
                <w:sz w:val="20"/>
                <w:szCs w:val="20"/>
              </w:rPr>
              <w:t>Please note that</w:t>
            </w:r>
            <w:r w:rsidR="00766559" w:rsidRPr="00766559">
              <w:rPr>
                <w:rFonts w:ascii="Arial" w:hAnsi="Arial"/>
                <w:sz w:val="20"/>
                <w:szCs w:val="20"/>
              </w:rPr>
              <w:t xml:space="preserve"> enhanced support for the financing of sustainability activities is under consideration]</w:t>
            </w:r>
            <w:r w:rsidR="00D130FF" w:rsidRPr="00766559">
              <w:rPr>
                <w:rFonts w:ascii="Arial" w:hAnsi="Arial"/>
                <w:sz w:val="20"/>
                <w:szCs w:val="20"/>
              </w:rPr>
              <w:t>.</w:t>
            </w:r>
          </w:p>
          <w:p w14:paraId="387BAF27" w14:textId="77777777" w:rsidR="00D130FF" w:rsidRDefault="00D130FF" w:rsidP="00D9147A">
            <w:pPr>
              <w:jc w:val="both"/>
              <w:rPr>
                <w:rFonts w:ascii="Arial" w:hAnsi="Arial"/>
                <w:sz w:val="20"/>
                <w:szCs w:val="20"/>
              </w:rPr>
            </w:pPr>
          </w:p>
          <w:p w14:paraId="7BFB4A2C" w14:textId="77777777" w:rsidR="000D23D8" w:rsidRDefault="00D130FF" w:rsidP="00D9147A">
            <w:pPr>
              <w:jc w:val="both"/>
              <w:rPr>
                <w:rFonts w:ascii="Arial" w:hAnsi="Arial"/>
                <w:sz w:val="20"/>
                <w:szCs w:val="20"/>
              </w:rPr>
            </w:pPr>
            <w:r>
              <w:rPr>
                <w:rFonts w:ascii="Arial" w:hAnsi="Arial"/>
                <w:sz w:val="20"/>
                <w:szCs w:val="20"/>
              </w:rPr>
              <w:t>The InvestEU guarantee shall not be provided for covering a portfolio of transactions that the financial intermediary</w:t>
            </w:r>
            <w:r w:rsidR="00766559">
              <w:rPr>
                <w:rFonts w:ascii="Arial" w:hAnsi="Arial"/>
                <w:sz w:val="20"/>
                <w:szCs w:val="20"/>
              </w:rPr>
              <w:t xml:space="preserve"> or Implementing Partner </w:t>
            </w:r>
            <w:r>
              <w:rPr>
                <w:rFonts w:ascii="Arial" w:hAnsi="Arial"/>
                <w:sz w:val="20"/>
                <w:szCs w:val="20"/>
              </w:rPr>
              <w:t>would be able to generate under its existing credit risk policy (i.e. within the existing risk appetite of the financial intermediary) or for which coverage would be available under an existing national or regional public scheme.</w:t>
            </w:r>
          </w:p>
          <w:p w14:paraId="72598679" w14:textId="77777777" w:rsidR="00FC31B8" w:rsidRPr="00360490" w:rsidRDefault="00FC31B8" w:rsidP="00D9147A">
            <w:pPr>
              <w:jc w:val="both"/>
              <w:rPr>
                <w:rFonts w:ascii="Arial" w:hAnsi="Arial"/>
                <w:i/>
                <w:sz w:val="20"/>
                <w:szCs w:val="20"/>
              </w:rPr>
            </w:pPr>
          </w:p>
        </w:tc>
      </w:tr>
      <w:tr w:rsidR="0008742E" w:rsidRPr="00360490" w14:paraId="71B55F41" w14:textId="77777777" w:rsidTr="00284A08">
        <w:tc>
          <w:tcPr>
            <w:tcW w:w="803" w:type="dxa"/>
          </w:tcPr>
          <w:p w14:paraId="6C39A293" w14:textId="77777777" w:rsidR="0008742E" w:rsidRPr="00360490" w:rsidRDefault="0008742E" w:rsidP="0008742E">
            <w:pPr>
              <w:rPr>
                <w:rFonts w:ascii="Arial" w:hAnsi="Arial"/>
                <w:b/>
                <w:sz w:val="20"/>
                <w:szCs w:val="20"/>
              </w:rPr>
            </w:pPr>
            <w:r w:rsidRPr="00360490">
              <w:rPr>
                <w:rFonts w:ascii="Arial" w:hAnsi="Arial"/>
                <w:b/>
                <w:sz w:val="20"/>
                <w:szCs w:val="20"/>
              </w:rPr>
              <w:t>3.</w:t>
            </w:r>
          </w:p>
        </w:tc>
        <w:tc>
          <w:tcPr>
            <w:tcW w:w="2514" w:type="dxa"/>
          </w:tcPr>
          <w:p w14:paraId="7A1EC9A0" w14:textId="77777777" w:rsidR="0008742E" w:rsidRPr="00360490" w:rsidRDefault="0008742E" w:rsidP="0008742E">
            <w:pPr>
              <w:rPr>
                <w:rFonts w:ascii="Arial" w:hAnsi="Arial"/>
                <w:b/>
                <w:sz w:val="20"/>
                <w:szCs w:val="20"/>
              </w:rPr>
            </w:pPr>
            <w:r w:rsidRPr="00360490">
              <w:rPr>
                <w:rFonts w:ascii="Arial" w:hAnsi="Arial"/>
                <w:b/>
                <w:sz w:val="20"/>
                <w:szCs w:val="20"/>
              </w:rPr>
              <w:t>Product Name</w:t>
            </w:r>
          </w:p>
          <w:p w14:paraId="0A29F271" w14:textId="77777777" w:rsidR="0008742E" w:rsidRPr="00360490" w:rsidRDefault="0008742E" w:rsidP="0008742E">
            <w:pPr>
              <w:rPr>
                <w:rFonts w:ascii="Arial" w:hAnsi="Arial"/>
                <w:b/>
                <w:sz w:val="20"/>
                <w:szCs w:val="20"/>
              </w:rPr>
            </w:pPr>
          </w:p>
        </w:tc>
        <w:tc>
          <w:tcPr>
            <w:tcW w:w="7247" w:type="dxa"/>
          </w:tcPr>
          <w:p w14:paraId="0646A183" w14:textId="77777777" w:rsidR="0008742E" w:rsidRPr="008D0B54" w:rsidRDefault="0008742E" w:rsidP="0008742E">
            <w:pPr>
              <w:tabs>
                <w:tab w:val="left" w:pos="1605"/>
              </w:tabs>
              <w:autoSpaceDE w:val="0"/>
              <w:autoSpaceDN w:val="0"/>
              <w:adjustRightInd w:val="0"/>
              <w:jc w:val="both"/>
              <w:rPr>
                <w:rFonts w:ascii="Arial" w:hAnsi="Arial" w:cs="Arial"/>
                <w:b/>
                <w:sz w:val="20"/>
                <w:szCs w:val="20"/>
              </w:rPr>
            </w:pPr>
            <w:r w:rsidRPr="008D0B54">
              <w:rPr>
                <w:rFonts w:ascii="Arial" w:hAnsi="Arial" w:cs="Arial"/>
                <w:b/>
                <w:sz w:val="20"/>
                <w:szCs w:val="20"/>
              </w:rPr>
              <w:t xml:space="preserve">InvestEU </w:t>
            </w:r>
            <w:r w:rsidR="00016D4A">
              <w:rPr>
                <w:rFonts w:ascii="Arial" w:hAnsi="Arial" w:cs="Arial"/>
                <w:b/>
                <w:sz w:val="20"/>
                <w:szCs w:val="20"/>
              </w:rPr>
              <w:t>SME guarantee</w:t>
            </w:r>
          </w:p>
          <w:p w14:paraId="5EAEC481" w14:textId="77777777" w:rsidR="0008742E" w:rsidRPr="00360490" w:rsidRDefault="0008742E" w:rsidP="0008742E">
            <w:pPr>
              <w:jc w:val="both"/>
              <w:rPr>
                <w:rFonts w:ascii="Arial" w:hAnsi="Arial"/>
                <w:i/>
                <w:sz w:val="20"/>
                <w:szCs w:val="20"/>
              </w:rPr>
            </w:pPr>
          </w:p>
        </w:tc>
      </w:tr>
      <w:tr w:rsidR="0008742E" w:rsidRPr="00360490" w14:paraId="5D43120E" w14:textId="77777777" w:rsidTr="00284A08">
        <w:tc>
          <w:tcPr>
            <w:tcW w:w="803" w:type="dxa"/>
          </w:tcPr>
          <w:p w14:paraId="56142B03" w14:textId="77777777" w:rsidR="0008742E" w:rsidRPr="00360490" w:rsidRDefault="0008742E" w:rsidP="0008742E">
            <w:pPr>
              <w:rPr>
                <w:rFonts w:ascii="Arial" w:hAnsi="Arial"/>
                <w:b/>
                <w:sz w:val="20"/>
                <w:szCs w:val="20"/>
              </w:rPr>
            </w:pPr>
            <w:r w:rsidRPr="00360490">
              <w:rPr>
                <w:rFonts w:ascii="Arial" w:hAnsi="Arial"/>
                <w:b/>
                <w:sz w:val="20"/>
                <w:szCs w:val="20"/>
              </w:rPr>
              <w:t>4.</w:t>
            </w:r>
          </w:p>
        </w:tc>
        <w:tc>
          <w:tcPr>
            <w:tcW w:w="2514" w:type="dxa"/>
          </w:tcPr>
          <w:p w14:paraId="5EC2E93B" w14:textId="77777777" w:rsidR="0008742E" w:rsidRPr="00360490" w:rsidRDefault="0008742E" w:rsidP="0008742E">
            <w:pPr>
              <w:rPr>
                <w:rFonts w:ascii="Arial" w:hAnsi="Arial"/>
                <w:b/>
                <w:sz w:val="20"/>
                <w:szCs w:val="20"/>
              </w:rPr>
            </w:pPr>
            <w:r w:rsidRPr="00360490">
              <w:rPr>
                <w:rFonts w:ascii="Arial" w:hAnsi="Arial"/>
                <w:b/>
                <w:sz w:val="20"/>
                <w:szCs w:val="20"/>
              </w:rPr>
              <w:t>Rationale, Objectives and Expected Impact</w:t>
            </w:r>
          </w:p>
        </w:tc>
        <w:tc>
          <w:tcPr>
            <w:tcW w:w="7247" w:type="dxa"/>
          </w:tcPr>
          <w:p w14:paraId="767A5FC9" w14:textId="77777777" w:rsidR="00E82C37" w:rsidRDefault="0008742E" w:rsidP="00260AA7">
            <w:pPr>
              <w:autoSpaceDE w:val="0"/>
              <w:autoSpaceDN w:val="0"/>
              <w:adjustRightInd w:val="0"/>
              <w:jc w:val="both"/>
              <w:rPr>
                <w:rFonts w:ascii="Arial" w:hAnsi="Arial"/>
                <w:sz w:val="20"/>
                <w:szCs w:val="20"/>
              </w:rPr>
            </w:pPr>
            <w:r w:rsidRPr="0008742E">
              <w:rPr>
                <w:rFonts w:ascii="Arial" w:hAnsi="Arial"/>
                <w:sz w:val="20"/>
                <w:szCs w:val="20"/>
              </w:rPr>
              <w:t xml:space="preserve">Small and medium-sized enterprises (SMEs) are the </w:t>
            </w:r>
            <w:r>
              <w:rPr>
                <w:rFonts w:ascii="Arial" w:hAnsi="Arial"/>
                <w:sz w:val="20"/>
                <w:szCs w:val="20"/>
              </w:rPr>
              <w:t>backbone</w:t>
            </w:r>
            <w:r w:rsidRPr="0008742E">
              <w:rPr>
                <w:rFonts w:ascii="Arial" w:hAnsi="Arial"/>
                <w:sz w:val="20"/>
                <w:szCs w:val="20"/>
              </w:rPr>
              <w:t xml:space="preserve"> of the European economy. There are over 23 million enterprises</w:t>
            </w:r>
            <w:r>
              <w:rPr>
                <w:rFonts w:ascii="Arial" w:hAnsi="Arial"/>
                <w:sz w:val="20"/>
                <w:szCs w:val="20"/>
              </w:rPr>
              <w:t xml:space="preserve"> </w:t>
            </w:r>
            <w:r w:rsidRPr="0008742E">
              <w:rPr>
                <w:rFonts w:ascii="Arial" w:hAnsi="Arial"/>
                <w:sz w:val="20"/>
                <w:szCs w:val="20"/>
              </w:rPr>
              <w:t>in the EU</w:t>
            </w:r>
            <w:r>
              <w:rPr>
                <w:rFonts w:ascii="Arial" w:hAnsi="Arial"/>
                <w:sz w:val="20"/>
                <w:szCs w:val="20"/>
              </w:rPr>
              <w:t xml:space="preserve"> but</w:t>
            </w:r>
            <w:r w:rsidRPr="0008742E">
              <w:rPr>
                <w:rFonts w:ascii="Arial" w:hAnsi="Arial"/>
                <w:sz w:val="20"/>
                <w:szCs w:val="20"/>
              </w:rPr>
              <w:t xml:space="preserve"> </w:t>
            </w:r>
            <w:r>
              <w:rPr>
                <w:rFonts w:ascii="Arial" w:hAnsi="Arial"/>
                <w:sz w:val="20"/>
                <w:szCs w:val="20"/>
              </w:rPr>
              <w:t>w</w:t>
            </w:r>
            <w:r w:rsidRPr="0008742E">
              <w:rPr>
                <w:rFonts w:ascii="Arial" w:hAnsi="Arial"/>
                <w:sz w:val="20"/>
                <w:szCs w:val="20"/>
              </w:rPr>
              <w:t xml:space="preserve">ithout SMEs the EU economy would consist of only 45 000 firms. The EU´s SMEs employed 93 million people in 2016, accounting for 67% of total private-sector employment and generated 57% of value added in the EU28 non-financial business sector. About 85% of newly created jobs in the EU are accounted for by SMEs. </w:t>
            </w:r>
          </w:p>
          <w:p w14:paraId="4FB99CAD" w14:textId="77777777" w:rsidR="0008742E" w:rsidRDefault="0008742E" w:rsidP="00260AA7">
            <w:pPr>
              <w:autoSpaceDE w:val="0"/>
              <w:autoSpaceDN w:val="0"/>
              <w:adjustRightInd w:val="0"/>
              <w:jc w:val="both"/>
              <w:rPr>
                <w:rFonts w:ascii="Arial" w:hAnsi="Arial"/>
                <w:sz w:val="20"/>
                <w:szCs w:val="20"/>
              </w:rPr>
            </w:pPr>
            <w:r w:rsidRPr="0008742E">
              <w:rPr>
                <w:rFonts w:ascii="Arial" w:hAnsi="Arial"/>
                <w:sz w:val="20"/>
                <w:szCs w:val="20"/>
              </w:rPr>
              <w:t xml:space="preserve"> </w:t>
            </w:r>
          </w:p>
          <w:p w14:paraId="1EBC8007" w14:textId="77777777" w:rsidR="0008742E" w:rsidRDefault="009B5F4E" w:rsidP="00260AA7">
            <w:pPr>
              <w:autoSpaceDE w:val="0"/>
              <w:autoSpaceDN w:val="0"/>
              <w:adjustRightInd w:val="0"/>
              <w:jc w:val="both"/>
              <w:rPr>
                <w:rFonts w:ascii="Arial" w:hAnsi="Arial"/>
                <w:sz w:val="20"/>
                <w:szCs w:val="20"/>
              </w:rPr>
            </w:pPr>
            <w:r w:rsidRPr="009B5F4E">
              <w:rPr>
                <w:rFonts w:ascii="Arial" w:hAnsi="Arial"/>
                <w:sz w:val="20"/>
                <w:szCs w:val="20"/>
              </w:rPr>
              <w:t>SMEs are heavily reliant on external sources of finance as internal funding is generally insufficient to meet their financing needs</w:t>
            </w:r>
            <w:r w:rsidR="0008742E" w:rsidRPr="0008742E">
              <w:rPr>
                <w:rFonts w:ascii="Arial" w:hAnsi="Arial"/>
                <w:sz w:val="20"/>
                <w:szCs w:val="20"/>
              </w:rPr>
              <w:t>.</w:t>
            </w:r>
            <w:r>
              <w:rPr>
                <w:rFonts w:ascii="Arial" w:hAnsi="Arial"/>
                <w:sz w:val="20"/>
                <w:szCs w:val="20"/>
              </w:rPr>
              <w:t xml:space="preserve"> </w:t>
            </w:r>
            <w:r w:rsidR="00E2390F" w:rsidRPr="00E2390F">
              <w:rPr>
                <w:rFonts w:ascii="Arial" w:hAnsi="Arial"/>
                <w:sz w:val="20"/>
                <w:szCs w:val="20"/>
              </w:rPr>
              <w:t xml:space="preserve">The bulk of SME </w:t>
            </w:r>
            <w:r>
              <w:rPr>
                <w:rFonts w:ascii="Arial" w:hAnsi="Arial"/>
                <w:sz w:val="20"/>
                <w:szCs w:val="20"/>
              </w:rPr>
              <w:t xml:space="preserve">external </w:t>
            </w:r>
            <w:r w:rsidR="00E2390F" w:rsidRPr="00E2390F">
              <w:rPr>
                <w:rFonts w:ascii="Arial" w:hAnsi="Arial"/>
                <w:sz w:val="20"/>
                <w:szCs w:val="20"/>
              </w:rPr>
              <w:t xml:space="preserve">financing is based on </w:t>
            </w:r>
            <w:r w:rsidR="00E2390F" w:rsidRPr="00E82C37">
              <w:rPr>
                <w:rFonts w:ascii="Arial" w:hAnsi="Arial"/>
                <w:sz w:val="20"/>
                <w:szCs w:val="20"/>
              </w:rPr>
              <w:t>bank loans</w:t>
            </w:r>
            <w:r w:rsidR="00016D4A" w:rsidRPr="00E82C37">
              <w:rPr>
                <w:rFonts w:ascii="Arial" w:hAnsi="Arial"/>
                <w:sz w:val="20"/>
                <w:szCs w:val="20"/>
              </w:rPr>
              <w:t xml:space="preserve"> and leasing</w:t>
            </w:r>
            <w:r w:rsidR="00E2390F" w:rsidRPr="00E2390F">
              <w:rPr>
                <w:rFonts w:ascii="Arial" w:hAnsi="Arial"/>
                <w:sz w:val="20"/>
                <w:szCs w:val="20"/>
              </w:rPr>
              <w:t xml:space="preserve"> and </w:t>
            </w:r>
            <w:r w:rsidR="00E82C37">
              <w:rPr>
                <w:rFonts w:ascii="Arial" w:hAnsi="Arial"/>
                <w:sz w:val="20"/>
                <w:szCs w:val="20"/>
              </w:rPr>
              <w:t>financial intermediaries enabling such finance are the</w:t>
            </w:r>
            <w:r w:rsidR="00E2390F" w:rsidRPr="00E2390F">
              <w:rPr>
                <w:rFonts w:ascii="Arial" w:hAnsi="Arial"/>
                <w:sz w:val="20"/>
                <w:szCs w:val="20"/>
              </w:rPr>
              <w:t xml:space="preserve">refore </w:t>
            </w:r>
            <w:r w:rsidR="00E82C37">
              <w:rPr>
                <w:rFonts w:ascii="Arial" w:hAnsi="Arial"/>
                <w:sz w:val="20"/>
                <w:szCs w:val="20"/>
              </w:rPr>
              <w:t xml:space="preserve">one avenue </w:t>
            </w:r>
            <w:r w:rsidR="00E2390F" w:rsidRPr="00E2390F">
              <w:rPr>
                <w:rFonts w:ascii="Arial" w:hAnsi="Arial"/>
                <w:sz w:val="20"/>
                <w:szCs w:val="20"/>
              </w:rPr>
              <w:t xml:space="preserve">for the provision of more SME financing. </w:t>
            </w:r>
            <w:r w:rsidR="00E82C37">
              <w:rPr>
                <w:rFonts w:ascii="Arial" w:hAnsi="Arial"/>
                <w:sz w:val="20"/>
                <w:szCs w:val="20"/>
              </w:rPr>
              <w:t xml:space="preserve">Providing alternatives for such finance, which can be debt or equity-based, is </w:t>
            </w:r>
            <w:r w:rsidR="00E2390F" w:rsidRPr="00E2390F">
              <w:rPr>
                <w:rFonts w:ascii="Arial" w:hAnsi="Arial"/>
                <w:sz w:val="20"/>
                <w:szCs w:val="20"/>
              </w:rPr>
              <w:t>important</w:t>
            </w:r>
            <w:r w:rsidR="00E82C37">
              <w:rPr>
                <w:rFonts w:ascii="Arial" w:hAnsi="Arial"/>
                <w:sz w:val="20"/>
                <w:szCs w:val="20"/>
              </w:rPr>
              <w:t xml:space="preserve"> and has to be developed further. </w:t>
            </w:r>
          </w:p>
          <w:p w14:paraId="40884497" w14:textId="77777777" w:rsidR="00E82C37" w:rsidRDefault="00E82C37" w:rsidP="00260AA7">
            <w:pPr>
              <w:autoSpaceDE w:val="0"/>
              <w:autoSpaceDN w:val="0"/>
              <w:adjustRightInd w:val="0"/>
              <w:jc w:val="both"/>
              <w:rPr>
                <w:rFonts w:ascii="Arial" w:hAnsi="Arial"/>
                <w:sz w:val="20"/>
                <w:szCs w:val="20"/>
              </w:rPr>
            </w:pPr>
          </w:p>
          <w:p w14:paraId="46BC2999" w14:textId="77777777" w:rsidR="00B1182C" w:rsidRDefault="00B1182C" w:rsidP="00260AA7">
            <w:pPr>
              <w:autoSpaceDE w:val="0"/>
              <w:autoSpaceDN w:val="0"/>
              <w:adjustRightInd w:val="0"/>
              <w:jc w:val="both"/>
              <w:rPr>
                <w:rFonts w:ascii="Arial" w:hAnsi="Arial"/>
                <w:sz w:val="20"/>
                <w:szCs w:val="20"/>
              </w:rPr>
            </w:pPr>
            <w:r>
              <w:rPr>
                <w:rFonts w:ascii="Arial" w:hAnsi="Arial"/>
                <w:sz w:val="20"/>
                <w:szCs w:val="20"/>
              </w:rPr>
              <w:t>F</w:t>
            </w:r>
            <w:r w:rsidRPr="00B1182C">
              <w:rPr>
                <w:rFonts w:ascii="Arial" w:hAnsi="Arial"/>
                <w:sz w:val="20"/>
                <w:szCs w:val="20"/>
              </w:rPr>
              <w:t>ollowing the financial crisis, higher capital requirements and the need for banks’ deleveraging negatively impacted banks’ willingness and ability to lend and to accept risk. This had a major negative effect on available SME bank finance across the EU. Credit standards tightened considerably and, as a consequence, SMEs experienced a credit crunch. While the situation has recovered, there are still considerable differences among Member States</w:t>
            </w:r>
            <w:r>
              <w:rPr>
                <w:rFonts w:ascii="Arial" w:hAnsi="Arial"/>
                <w:sz w:val="20"/>
                <w:szCs w:val="20"/>
              </w:rPr>
              <w:t>.</w:t>
            </w:r>
          </w:p>
          <w:p w14:paraId="3B94BD21" w14:textId="77777777" w:rsidR="00E82C37" w:rsidRDefault="00E82C37" w:rsidP="00260AA7">
            <w:pPr>
              <w:autoSpaceDE w:val="0"/>
              <w:autoSpaceDN w:val="0"/>
              <w:adjustRightInd w:val="0"/>
              <w:jc w:val="both"/>
              <w:rPr>
                <w:rFonts w:ascii="Arial" w:hAnsi="Arial"/>
                <w:sz w:val="20"/>
                <w:szCs w:val="20"/>
              </w:rPr>
            </w:pPr>
          </w:p>
          <w:p w14:paraId="54288011" w14:textId="77777777" w:rsidR="00B1182C" w:rsidRDefault="00B1182C" w:rsidP="00260AA7">
            <w:pPr>
              <w:autoSpaceDE w:val="0"/>
              <w:autoSpaceDN w:val="0"/>
              <w:adjustRightInd w:val="0"/>
              <w:jc w:val="both"/>
              <w:rPr>
                <w:rFonts w:ascii="Arial" w:hAnsi="Arial"/>
                <w:sz w:val="20"/>
                <w:szCs w:val="20"/>
              </w:rPr>
            </w:pPr>
            <w:r w:rsidRPr="00B1182C">
              <w:rPr>
                <w:rFonts w:ascii="Arial" w:hAnsi="Arial"/>
                <w:sz w:val="20"/>
                <w:szCs w:val="20"/>
              </w:rPr>
              <w:lastRenderedPageBreak/>
              <w:t>The 2018 OECD scoreboard on Financing SMEs and Entrepreneurs notes that "new lending to SMEs depicts a more negative picture than in previous years". Growth in new SME loans in 2016 was negative in 15 out of 25 countries covered by the OECD scoreboard. The  decline  in  new  lending  can  be  attributed  to  several  factors,  often  depending  on   national  circumstances.  In some countries this can be attributed to lower demand linked to weak investment dynamics.  In  other  countries,   such  as  Greece,  Slovenia  and  Portugal,  financial  institutions  appeared  to  have  become  more  risk-averse  when  lending  to  SMEs.</w:t>
            </w:r>
          </w:p>
          <w:p w14:paraId="30C5E74A" w14:textId="77777777" w:rsidR="00E82C37" w:rsidRDefault="00E82C37" w:rsidP="00260AA7">
            <w:pPr>
              <w:autoSpaceDE w:val="0"/>
              <w:autoSpaceDN w:val="0"/>
              <w:adjustRightInd w:val="0"/>
              <w:jc w:val="both"/>
              <w:rPr>
                <w:rFonts w:ascii="Arial" w:hAnsi="Arial"/>
                <w:sz w:val="20"/>
                <w:szCs w:val="20"/>
              </w:rPr>
            </w:pPr>
          </w:p>
          <w:p w14:paraId="3346D6ED" w14:textId="77777777" w:rsidR="00962B54" w:rsidRPr="00962B54" w:rsidRDefault="008844C4" w:rsidP="001242CE">
            <w:pPr>
              <w:jc w:val="both"/>
              <w:rPr>
                <w:rFonts w:ascii="Arial" w:hAnsi="Arial"/>
                <w:sz w:val="20"/>
                <w:szCs w:val="20"/>
              </w:rPr>
            </w:pPr>
            <w:r w:rsidRPr="005566C4">
              <w:rPr>
                <w:rFonts w:ascii="Arial" w:hAnsi="Arial"/>
                <w:sz w:val="20"/>
                <w:szCs w:val="20"/>
              </w:rPr>
              <w:t>This market environment results in an access to finance gap for SMEs</w:t>
            </w:r>
            <w:r>
              <w:rPr>
                <w:rStyle w:val="FootnoteReference"/>
                <w:rFonts w:ascii="Arial" w:hAnsi="Arial"/>
                <w:sz w:val="20"/>
                <w:szCs w:val="20"/>
              </w:rPr>
              <w:footnoteReference w:id="2"/>
            </w:r>
            <w:r w:rsidRPr="005566C4">
              <w:rPr>
                <w:rFonts w:ascii="Arial" w:hAnsi="Arial"/>
                <w:sz w:val="20"/>
                <w:szCs w:val="20"/>
              </w:rPr>
              <w:t xml:space="preserve"> that have a perceived higher risk profile or insufficient collateral, which is independent of their sector of operation. </w:t>
            </w:r>
            <w:r w:rsidR="00962B54" w:rsidRPr="00962B54">
              <w:rPr>
                <w:rFonts w:ascii="Arial" w:hAnsi="Arial"/>
                <w:sz w:val="20"/>
                <w:szCs w:val="20"/>
              </w:rPr>
              <w:t xml:space="preserve">Despite the strong support of the SME debt </w:t>
            </w:r>
            <w:r w:rsidR="00962B54" w:rsidRPr="00D130FF">
              <w:rPr>
                <w:rFonts w:ascii="Arial" w:hAnsi="Arial"/>
                <w:sz w:val="20"/>
                <w:szCs w:val="20"/>
              </w:rPr>
              <w:t>financing market through public support schemes</w:t>
            </w:r>
            <w:r w:rsidR="002F7F19" w:rsidRPr="00D130FF">
              <w:rPr>
                <w:rFonts w:ascii="Arial" w:hAnsi="Arial"/>
                <w:sz w:val="20"/>
                <w:szCs w:val="20"/>
              </w:rPr>
              <w:t xml:space="preserve"> at regional, national and EU-level</w:t>
            </w:r>
            <w:r w:rsidR="00962B54" w:rsidRPr="00D130FF">
              <w:rPr>
                <w:rFonts w:ascii="Arial" w:hAnsi="Arial"/>
                <w:sz w:val="20"/>
                <w:szCs w:val="20"/>
              </w:rPr>
              <w:t>, EU27 still suffered from a substantial debt financing gap, peaking at €42 billion in 2014, which has subsequently seen a reduction to less than €30 billion</w:t>
            </w:r>
            <w:r w:rsidR="00E82C37" w:rsidRPr="00D130FF">
              <w:rPr>
                <w:rFonts w:ascii="Arial" w:hAnsi="Arial"/>
                <w:sz w:val="20"/>
                <w:szCs w:val="20"/>
              </w:rPr>
              <w:t xml:space="preserve"> in 2017</w:t>
            </w:r>
            <w:r w:rsidR="00962B54" w:rsidRPr="00D130FF">
              <w:rPr>
                <w:rFonts w:ascii="Arial" w:hAnsi="Arial"/>
                <w:sz w:val="20"/>
                <w:szCs w:val="20"/>
              </w:rPr>
              <w:t>.</w:t>
            </w:r>
            <w:r w:rsidR="00962B54" w:rsidRPr="00962B54">
              <w:rPr>
                <w:rFonts w:ascii="Arial" w:hAnsi="Arial"/>
                <w:sz w:val="20"/>
                <w:szCs w:val="20"/>
              </w:rPr>
              <w:t xml:space="preserve"> The figures show an overall improvement of the conditions for accessing loan financing at EU27 level compared to earlier years.  </w:t>
            </w:r>
          </w:p>
          <w:p w14:paraId="3FB02228" w14:textId="77777777" w:rsidR="00A545D0" w:rsidRDefault="00A545D0" w:rsidP="008844C4">
            <w:pPr>
              <w:jc w:val="both"/>
              <w:rPr>
                <w:rFonts w:ascii="Arial" w:hAnsi="Arial"/>
                <w:sz w:val="20"/>
                <w:szCs w:val="20"/>
              </w:rPr>
            </w:pPr>
          </w:p>
          <w:p w14:paraId="631B2D20" w14:textId="77777777" w:rsidR="00156BE8" w:rsidRDefault="00A545D0" w:rsidP="008844C4">
            <w:pPr>
              <w:jc w:val="both"/>
              <w:rPr>
                <w:rFonts w:ascii="Arial" w:hAnsi="Arial"/>
                <w:sz w:val="20"/>
                <w:szCs w:val="20"/>
              </w:rPr>
            </w:pPr>
            <w:r w:rsidRPr="00A545D0">
              <w:rPr>
                <w:rFonts w:ascii="Arial" w:hAnsi="Arial"/>
                <w:sz w:val="20"/>
                <w:szCs w:val="20"/>
              </w:rPr>
              <w:t xml:space="preserve">While financing through equity is often regarded as the appropriate source of funding for </w:t>
            </w:r>
            <w:r w:rsidR="00D130FF" w:rsidRPr="00D130FF">
              <w:rPr>
                <w:rFonts w:ascii="Arial" w:hAnsi="Arial"/>
                <w:sz w:val="20"/>
                <w:szCs w:val="20"/>
              </w:rPr>
              <w:t xml:space="preserve">highly </w:t>
            </w:r>
            <w:r w:rsidRPr="00D130FF">
              <w:rPr>
                <w:rFonts w:ascii="Arial" w:hAnsi="Arial"/>
                <w:sz w:val="20"/>
                <w:szCs w:val="20"/>
              </w:rPr>
              <w:t>innovative firms</w:t>
            </w:r>
            <w:r w:rsidRPr="00A545D0">
              <w:rPr>
                <w:rFonts w:ascii="Arial" w:hAnsi="Arial"/>
                <w:sz w:val="20"/>
                <w:szCs w:val="20"/>
              </w:rPr>
              <w:t>, the limited size of the European venture capital industry and the ‘bank culture’ predominant in the Member States lead</w:t>
            </w:r>
            <w:r w:rsidR="004A0CD5">
              <w:rPr>
                <w:rFonts w:ascii="Arial" w:hAnsi="Arial"/>
                <w:sz w:val="20"/>
                <w:szCs w:val="20"/>
              </w:rPr>
              <w:t>s</w:t>
            </w:r>
            <w:r w:rsidRPr="00A545D0">
              <w:rPr>
                <w:rFonts w:ascii="Arial" w:hAnsi="Arial"/>
                <w:sz w:val="20"/>
                <w:szCs w:val="20"/>
              </w:rPr>
              <w:t xml:space="preserve"> to the fact that many </w:t>
            </w:r>
            <w:r w:rsidR="004A0CD5">
              <w:rPr>
                <w:rFonts w:ascii="Arial" w:hAnsi="Arial"/>
                <w:sz w:val="20"/>
                <w:szCs w:val="20"/>
              </w:rPr>
              <w:t xml:space="preserve">highly </w:t>
            </w:r>
            <w:r w:rsidRPr="00A545D0">
              <w:rPr>
                <w:rFonts w:ascii="Arial" w:hAnsi="Arial"/>
                <w:sz w:val="20"/>
                <w:szCs w:val="20"/>
              </w:rPr>
              <w:t>innovative firms rely on ‘classic’ debt financing</w:t>
            </w:r>
            <w:r>
              <w:rPr>
                <w:rFonts w:ascii="Arial" w:hAnsi="Arial"/>
                <w:sz w:val="20"/>
                <w:szCs w:val="20"/>
              </w:rPr>
              <w:t xml:space="preserve">. Furthermore, </w:t>
            </w:r>
            <w:r w:rsidR="00156BE8" w:rsidRPr="00156BE8">
              <w:rPr>
                <w:rFonts w:ascii="Arial" w:hAnsi="Arial"/>
                <w:sz w:val="20"/>
                <w:szCs w:val="20"/>
              </w:rPr>
              <w:t xml:space="preserve"> </w:t>
            </w:r>
            <w:r w:rsidR="00156BE8" w:rsidRPr="00962B54">
              <w:rPr>
                <w:rFonts w:ascii="Arial" w:hAnsi="Arial"/>
                <w:sz w:val="20"/>
                <w:szCs w:val="20"/>
              </w:rPr>
              <w:t>innovative and other high-risk</w:t>
            </w:r>
            <w:r w:rsidR="00156BE8" w:rsidRPr="00156BE8">
              <w:rPr>
                <w:rFonts w:ascii="Arial" w:hAnsi="Arial"/>
                <w:sz w:val="20"/>
                <w:szCs w:val="20"/>
              </w:rPr>
              <w:t xml:space="preserve"> activities, which are poorly understood by finance providers, results in low credit scores and leads to high interest charges to compensate for the perceived risk, provided that a finance provider is willing to offer the finance at all, rather than reject the application outright.  </w:t>
            </w:r>
          </w:p>
          <w:p w14:paraId="249F013D" w14:textId="77777777" w:rsidR="005566C4" w:rsidRPr="00156BE8" w:rsidRDefault="005566C4" w:rsidP="00260AA7">
            <w:pPr>
              <w:jc w:val="both"/>
              <w:rPr>
                <w:rFonts w:ascii="Arial" w:hAnsi="Arial"/>
                <w:sz w:val="20"/>
                <w:szCs w:val="20"/>
              </w:rPr>
            </w:pPr>
          </w:p>
          <w:p w14:paraId="02FF481F" w14:textId="77777777" w:rsidR="00DD55DA" w:rsidRDefault="00DD55DA" w:rsidP="00DD55DA">
            <w:pPr>
              <w:jc w:val="both"/>
              <w:rPr>
                <w:rFonts w:ascii="Arial" w:hAnsi="Arial"/>
                <w:sz w:val="20"/>
                <w:szCs w:val="20"/>
              </w:rPr>
            </w:pPr>
            <w:r w:rsidRPr="00DD55DA">
              <w:rPr>
                <w:rFonts w:ascii="Arial" w:hAnsi="Arial"/>
                <w:sz w:val="20"/>
                <w:szCs w:val="20"/>
              </w:rPr>
              <w:t xml:space="preserve">The </w:t>
            </w:r>
            <w:r w:rsidR="002F7F19" w:rsidRPr="004A0CD5">
              <w:rPr>
                <w:rFonts w:ascii="Arial" w:hAnsi="Arial"/>
                <w:sz w:val="20"/>
                <w:szCs w:val="20"/>
              </w:rPr>
              <w:t>digital transformation b</w:t>
            </w:r>
            <w:r w:rsidRPr="004A0CD5">
              <w:rPr>
                <w:rFonts w:ascii="Arial" w:hAnsi="Arial"/>
                <w:sz w:val="20"/>
                <w:szCs w:val="20"/>
              </w:rPr>
              <w:t>y European SMEs across all sectors is essential for Europe to remain competitive</w:t>
            </w:r>
            <w:r w:rsidRPr="00DD55DA">
              <w:rPr>
                <w:rFonts w:ascii="Arial" w:hAnsi="Arial"/>
                <w:sz w:val="20"/>
                <w:szCs w:val="20"/>
              </w:rPr>
              <w:t xml:space="preserve"> in a global marketplace. Currently, there is a substantial disparity in terms of the integration of digital technologies into industries and companies across Europe. </w:t>
            </w:r>
            <w:r w:rsidRPr="00DD55DA">
              <w:rPr>
                <w:rFonts w:ascii="Times New Roman" w:hAnsi="Times New Roman"/>
                <w:sz w:val="24"/>
                <w:szCs w:val="24"/>
              </w:rPr>
              <w:t xml:space="preserve"> </w:t>
            </w:r>
            <w:r w:rsidRPr="00DD55DA">
              <w:rPr>
                <w:rFonts w:ascii="Arial" w:hAnsi="Arial"/>
                <w:sz w:val="20"/>
                <w:szCs w:val="20"/>
              </w:rPr>
              <w:t xml:space="preserve">While there are several factors that lead to a low digitalisation rate (including the willingness of traditional SMEs to adapt due to their insufficient knowledge- and skill-base), limited access to finance is one of the elements that negatively affects the possibility for traditional SMEs to digitalise. </w:t>
            </w:r>
            <w:r>
              <w:rPr>
                <w:rFonts w:ascii="Arial" w:hAnsi="Arial"/>
                <w:sz w:val="20"/>
                <w:szCs w:val="20"/>
              </w:rPr>
              <w:t>Specific attention shall therefore be paid to supporting digital transformation projects of SMEs in order to make them more competitive, help them expand to new markets and adjust to structural changes.</w:t>
            </w:r>
          </w:p>
          <w:p w14:paraId="167E8144" w14:textId="77777777" w:rsidR="007E7C16" w:rsidRPr="00DD55DA" w:rsidRDefault="007E7C16" w:rsidP="00DD55DA">
            <w:pPr>
              <w:jc w:val="both"/>
              <w:rPr>
                <w:rFonts w:ascii="Arial" w:hAnsi="Arial"/>
                <w:sz w:val="20"/>
                <w:szCs w:val="20"/>
              </w:rPr>
            </w:pPr>
          </w:p>
          <w:p w14:paraId="0E31C36F" w14:textId="77777777" w:rsidR="00DD55DA" w:rsidRPr="00DD55DA" w:rsidRDefault="007E7C16" w:rsidP="00260AA7">
            <w:pPr>
              <w:autoSpaceDE w:val="0"/>
              <w:autoSpaceDN w:val="0"/>
              <w:adjustRightInd w:val="0"/>
              <w:jc w:val="both"/>
              <w:rPr>
                <w:rFonts w:ascii="Arial" w:hAnsi="Arial"/>
                <w:sz w:val="20"/>
                <w:szCs w:val="20"/>
              </w:rPr>
            </w:pPr>
            <w:r w:rsidRPr="007E7C16">
              <w:rPr>
                <w:rFonts w:ascii="Arial" w:hAnsi="Arial"/>
                <w:sz w:val="20"/>
                <w:szCs w:val="20"/>
              </w:rPr>
              <w:t xml:space="preserve">With </w:t>
            </w:r>
            <w:r w:rsidR="00C64767">
              <w:rPr>
                <w:rFonts w:ascii="Arial" w:hAnsi="Arial"/>
                <w:sz w:val="20"/>
                <w:szCs w:val="20"/>
              </w:rPr>
              <w:t>6.7</w:t>
            </w:r>
            <w:r w:rsidRPr="007E7C16">
              <w:rPr>
                <w:rFonts w:ascii="Arial" w:hAnsi="Arial"/>
                <w:sz w:val="20"/>
                <w:szCs w:val="20"/>
              </w:rPr>
              <w:t xml:space="preserve"> million jobs, accounting for 4.</w:t>
            </w:r>
            <w:r w:rsidR="00C64767">
              <w:rPr>
                <w:rFonts w:ascii="Arial" w:hAnsi="Arial"/>
                <w:sz w:val="20"/>
                <w:szCs w:val="20"/>
              </w:rPr>
              <w:t>2</w:t>
            </w:r>
            <w:r w:rsidRPr="007E7C16">
              <w:rPr>
                <w:rFonts w:ascii="Arial" w:hAnsi="Arial"/>
                <w:sz w:val="20"/>
                <w:szCs w:val="20"/>
              </w:rPr>
              <w:t>%</w:t>
            </w:r>
            <w:r w:rsidR="00C64767">
              <w:rPr>
                <w:rStyle w:val="FootnoteReference"/>
                <w:rFonts w:ascii="Arial" w:hAnsi="Arial"/>
                <w:sz w:val="20"/>
                <w:szCs w:val="20"/>
              </w:rPr>
              <w:footnoteReference w:id="3"/>
            </w:r>
            <w:r w:rsidR="004A0CD5">
              <w:rPr>
                <w:rFonts w:ascii="Arial" w:hAnsi="Arial"/>
                <w:sz w:val="20"/>
                <w:szCs w:val="20"/>
              </w:rPr>
              <w:t xml:space="preserve"> </w:t>
            </w:r>
            <w:r w:rsidRPr="007E7C16">
              <w:rPr>
                <w:rFonts w:ascii="Arial" w:hAnsi="Arial"/>
                <w:sz w:val="20"/>
                <w:szCs w:val="20"/>
              </w:rPr>
              <w:t xml:space="preserve">of </w:t>
            </w:r>
            <w:r>
              <w:rPr>
                <w:rFonts w:ascii="Arial" w:hAnsi="Arial"/>
                <w:sz w:val="20"/>
                <w:szCs w:val="20"/>
              </w:rPr>
              <w:t xml:space="preserve">the </w:t>
            </w:r>
            <w:r w:rsidRPr="007E7C16">
              <w:rPr>
                <w:rFonts w:ascii="Arial" w:hAnsi="Arial"/>
                <w:sz w:val="20"/>
                <w:szCs w:val="20"/>
              </w:rPr>
              <w:t xml:space="preserve">overall GDP, </w:t>
            </w:r>
            <w:r>
              <w:rPr>
                <w:rFonts w:ascii="Arial" w:hAnsi="Arial"/>
                <w:sz w:val="20"/>
                <w:szCs w:val="20"/>
              </w:rPr>
              <w:t xml:space="preserve">the </w:t>
            </w:r>
            <w:r w:rsidRPr="009E3FD6">
              <w:rPr>
                <w:rFonts w:ascii="Arial" w:hAnsi="Arial"/>
                <w:sz w:val="20"/>
                <w:szCs w:val="20"/>
              </w:rPr>
              <w:t>cultural and creative sector</w:t>
            </w:r>
            <w:r>
              <w:rPr>
                <w:rFonts w:ascii="Arial" w:hAnsi="Arial"/>
                <w:sz w:val="20"/>
                <w:szCs w:val="20"/>
              </w:rPr>
              <w:t xml:space="preserve"> (CCS)</w:t>
            </w:r>
            <w:r w:rsidRPr="007E7C16">
              <w:rPr>
                <w:rFonts w:ascii="Arial" w:hAnsi="Arial"/>
                <w:sz w:val="20"/>
                <w:szCs w:val="20"/>
              </w:rPr>
              <w:t xml:space="preserve"> </w:t>
            </w:r>
            <w:r>
              <w:rPr>
                <w:rFonts w:ascii="Arial" w:hAnsi="Arial"/>
                <w:sz w:val="20"/>
                <w:szCs w:val="20"/>
              </w:rPr>
              <w:t xml:space="preserve">is </w:t>
            </w:r>
            <w:r w:rsidRPr="007E7C16">
              <w:rPr>
                <w:rFonts w:ascii="Arial" w:hAnsi="Arial"/>
                <w:sz w:val="20"/>
                <w:szCs w:val="20"/>
              </w:rPr>
              <w:t>the third largest source of employment</w:t>
            </w:r>
            <w:r>
              <w:rPr>
                <w:rStyle w:val="FootnoteReference"/>
                <w:rFonts w:ascii="Arial" w:hAnsi="Arial"/>
                <w:sz w:val="20"/>
                <w:szCs w:val="20"/>
              </w:rPr>
              <w:footnoteReference w:id="4"/>
            </w:r>
            <w:r w:rsidRPr="007E7C16">
              <w:rPr>
                <w:rFonts w:ascii="Arial" w:hAnsi="Arial"/>
                <w:sz w:val="20"/>
                <w:szCs w:val="20"/>
              </w:rPr>
              <w:t xml:space="preserve"> in the </w:t>
            </w:r>
            <w:r>
              <w:rPr>
                <w:rFonts w:ascii="Arial" w:hAnsi="Arial"/>
                <w:sz w:val="20"/>
                <w:szCs w:val="20"/>
              </w:rPr>
              <w:t>EU</w:t>
            </w:r>
            <w:r w:rsidRPr="007E7C16">
              <w:rPr>
                <w:rFonts w:ascii="Arial" w:hAnsi="Arial"/>
                <w:sz w:val="20"/>
                <w:szCs w:val="20"/>
              </w:rPr>
              <w:t>. CCS also enable</w:t>
            </w:r>
            <w:r>
              <w:rPr>
                <w:rFonts w:ascii="Arial" w:hAnsi="Arial"/>
                <w:sz w:val="20"/>
                <w:szCs w:val="20"/>
              </w:rPr>
              <w:t>s</w:t>
            </w:r>
            <w:r w:rsidRPr="007E7C16">
              <w:rPr>
                <w:rFonts w:ascii="Arial" w:hAnsi="Arial"/>
                <w:sz w:val="20"/>
                <w:szCs w:val="20"/>
              </w:rPr>
              <w:t xml:space="preserve"> innovation and technological development in other parts of the economy. The social role CCS plays is important in preserving and transmitting cultural, creative and linguistic diversity, and thus in strengthening European identities and social cohesion.</w:t>
            </w:r>
            <w:r w:rsidR="0035078C">
              <w:rPr>
                <w:rFonts w:ascii="Arial" w:hAnsi="Arial"/>
                <w:sz w:val="20"/>
                <w:szCs w:val="20"/>
              </w:rPr>
              <w:t xml:space="preserve"> </w:t>
            </w:r>
            <w:r w:rsidR="0035078C" w:rsidRPr="0035078C">
              <w:rPr>
                <w:rFonts w:ascii="Arial" w:hAnsi="Arial"/>
                <w:sz w:val="20"/>
                <w:szCs w:val="20"/>
              </w:rPr>
              <w:t xml:space="preserve">Research has indicated that access to funding is one of the key barriers encountered by entrepreneurs, SMEs and </w:t>
            </w:r>
            <w:r w:rsidR="0035078C" w:rsidRPr="0035078C">
              <w:rPr>
                <w:rFonts w:ascii="Arial" w:hAnsi="Arial"/>
                <w:sz w:val="20"/>
                <w:szCs w:val="20"/>
              </w:rPr>
              <w:lastRenderedPageBreak/>
              <w:t>other organisations working in CCS. This relates to the range and fragmentation of CCS activities, the nature of CCS organisations and entrepreneurs, and the market conditions faced by the sector. CCS funding is characterised by a series of barriers</w:t>
            </w:r>
            <w:r w:rsidR="0035078C">
              <w:rPr>
                <w:rFonts w:ascii="Arial" w:hAnsi="Arial"/>
                <w:sz w:val="20"/>
                <w:szCs w:val="20"/>
              </w:rPr>
              <w:t xml:space="preserve"> </w:t>
            </w:r>
            <w:r w:rsidR="0035078C" w:rsidRPr="0035078C">
              <w:rPr>
                <w:rFonts w:ascii="Arial" w:hAnsi="Arial"/>
                <w:sz w:val="20"/>
                <w:szCs w:val="20"/>
              </w:rPr>
              <w:t xml:space="preserve">which are more pronounced than in other sectors. These include: </w:t>
            </w:r>
            <w:r w:rsidR="008638E9">
              <w:rPr>
                <w:rFonts w:ascii="Arial" w:hAnsi="Arial"/>
                <w:sz w:val="20"/>
                <w:szCs w:val="20"/>
              </w:rPr>
              <w:t xml:space="preserve">the </w:t>
            </w:r>
            <w:r w:rsidR="0035078C" w:rsidRPr="0035078C">
              <w:rPr>
                <w:rFonts w:ascii="Arial" w:hAnsi="Arial"/>
                <w:sz w:val="20"/>
                <w:szCs w:val="20"/>
              </w:rPr>
              <w:t xml:space="preserve">intangible </w:t>
            </w:r>
            <w:r w:rsidR="008638E9">
              <w:rPr>
                <w:rFonts w:ascii="Arial" w:hAnsi="Arial"/>
                <w:sz w:val="20"/>
                <w:szCs w:val="20"/>
              </w:rPr>
              <w:t xml:space="preserve">nature of many of the CCS </w:t>
            </w:r>
            <w:r w:rsidR="0035078C" w:rsidRPr="0035078C">
              <w:rPr>
                <w:rFonts w:ascii="Arial" w:hAnsi="Arial"/>
                <w:sz w:val="20"/>
                <w:szCs w:val="20"/>
              </w:rPr>
              <w:t>assets</w:t>
            </w:r>
            <w:r w:rsidR="008638E9">
              <w:rPr>
                <w:rFonts w:ascii="Arial" w:hAnsi="Arial"/>
                <w:sz w:val="20"/>
                <w:szCs w:val="20"/>
              </w:rPr>
              <w:t xml:space="preserve"> (difficult to evaluate)</w:t>
            </w:r>
            <w:r w:rsidR="0035078C" w:rsidRPr="0035078C">
              <w:rPr>
                <w:rFonts w:ascii="Arial" w:hAnsi="Arial"/>
                <w:sz w:val="20"/>
                <w:szCs w:val="20"/>
              </w:rPr>
              <w:t xml:space="preserve">, </w:t>
            </w:r>
            <w:r w:rsidR="006A1B2B" w:rsidRPr="00AD54A1">
              <w:rPr>
                <w:rFonts w:ascii="Arial" w:hAnsi="Arial"/>
                <w:sz w:val="20"/>
                <w:szCs w:val="20"/>
              </w:rPr>
              <w:t xml:space="preserve">one of a kind/uniqueness of products, </w:t>
            </w:r>
            <w:r w:rsidR="0035078C" w:rsidRPr="00AD54A1">
              <w:rPr>
                <w:rFonts w:ascii="Arial" w:hAnsi="Arial"/>
                <w:sz w:val="20"/>
                <w:szCs w:val="20"/>
              </w:rPr>
              <w:t xml:space="preserve">lack of </w:t>
            </w:r>
            <w:r w:rsidR="00FE53B9" w:rsidRPr="00AD54A1">
              <w:rPr>
                <w:rFonts w:ascii="Arial" w:hAnsi="Arial"/>
                <w:sz w:val="20"/>
                <w:szCs w:val="20"/>
              </w:rPr>
              <w:t xml:space="preserve">collateral and </w:t>
            </w:r>
            <w:r w:rsidR="0035078C" w:rsidRPr="00AD54A1">
              <w:rPr>
                <w:rFonts w:ascii="Arial" w:hAnsi="Arial"/>
                <w:sz w:val="20"/>
                <w:szCs w:val="20"/>
              </w:rPr>
              <w:t>busi</w:t>
            </w:r>
            <w:r w:rsidR="0035078C" w:rsidRPr="0035078C">
              <w:rPr>
                <w:rFonts w:ascii="Arial" w:hAnsi="Arial"/>
                <w:sz w:val="20"/>
                <w:szCs w:val="20"/>
              </w:rPr>
              <w:t>ness track record, limited transferability of assets, information failures between finance providers and companies, difficulties in assessing business models, and lack of relevant expertise in financial intermediaries to assess these specific risks. The ‘finance gap’ for CCS enterprises was estimated in 2013 at between €8 and €13</w:t>
            </w:r>
            <w:r w:rsidR="0035078C">
              <w:rPr>
                <w:rFonts w:ascii="Arial" w:hAnsi="Arial"/>
                <w:sz w:val="20"/>
                <w:szCs w:val="20"/>
              </w:rPr>
              <w:t>bn for the period 2014 to 2020</w:t>
            </w:r>
            <w:r w:rsidR="0035078C">
              <w:rPr>
                <w:rStyle w:val="FootnoteReference"/>
                <w:rFonts w:ascii="Arial" w:hAnsi="Arial"/>
                <w:sz w:val="20"/>
                <w:szCs w:val="20"/>
              </w:rPr>
              <w:footnoteReference w:id="5"/>
            </w:r>
            <w:r w:rsidR="00FE53B9">
              <w:rPr>
                <w:rFonts w:ascii="Arial" w:hAnsi="Arial"/>
                <w:sz w:val="20"/>
                <w:szCs w:val="20"/>
              </w:rPr>
              <w:t xml:space="preserve"> and, despite EU initiatives in thie area, there is a continued market gap</w:t>
            </w:r>
            <w:r w:rsidR="0035078C">
              <w:rPr>
                <w:rFonts w:ascii="Arial" w:hAnsi="Arial"/>
                <w:sz w:val="20"/>
                <w:szCs w:val="20"/>
              </w:rPr>
              <w:t>.</w:t>
            </w:r>
            <w:r w:rsidR="003918E7">
              <w:rPr>
                <w:rStyle w:val="FootnoteReference"/>
                <w:rFonts w:ascii="Arial" w:hAnsi="Arial"/>
                <w:sz w:val="20"/>
                <w:szCs w:val="20"/>
              </w:rPr>
              <w:footnoteReference w:id="6"/>
            </w:r>
          </w:p>
          <w:p w14:paraId="26232682" w14:textId="77777777" w:rsidR="0008742E" w:rsidRDefault="0008742E" w:rsidP="00260AA7">
            <w:pPr>
              <w:autoSpaceDE w:val="0"/>
              <w:autoSpaceDN w:val="0"/>
              <w:adjustRightInd w:val="0"/>
              <w:jc w:val="both"/>
              <w:rPr>
                <w:rFonts w:ascii="Arial" w:hAnsi="Arial"/>
                <w:i/>
                <w:sz w:val="20"/>
                <w:szCs w:val="20"/>
              </w:rPr>
            </w:pPr>
          </w:p>
          <w:p w14:paraId="2D891102" w14:textId="77777777" w:rsidR="00043D75" w:rsidRDefault="00043D75" w:rsidP="00043D75">
            <w:pPr>
              <w:autoSpaceDE w:val="0"/>
              <w:autoSpaceDN w:val="0"/>
              <w:adjustRightInd w:val="0"/>
              <w:jc w:val="both"/>
              <w:rPr>
                <w:rFonts w:ascii="Arial" w:hAnsi="Arial" w:cs="Arial"/>
                <w:i/>
                <w:sz w:val="20"/>
                <w:szCs w:val="20"/>
              </w:rPr>
            </w:pPr>
            <w:r w:rsidRPr="002169EC">
              <w:rPr>
                <w:rFonts w:ascii="Arial" w:hAnsi="Arial" w:cs="Arial"/>
                <w:i/>
                <w:sz w:val="20"/>
                <w:szCs w:val="20"/>
              </w:rPr>
              <w:t>[</w:t>
            </w:r>
            <w:r w:rsidRPr="002169EC">
              <w:rPr>
                <w:rFonts w:ascii="Arial" w:hAnsi="Arial"/>
                <w:i/>
                <w:sz w:val="20"/>
                <w:szCs w:val="20"/>
              </w:rPr>
              <w:t>PLACEHOLDER FOR SUSTAINABILITY</w:t>
            </w:r>
            <w:r w:rsidRPr="002169EC">
              <w:rPr>
                <w:rFonts w:ascii="Arial" w:hAnsi="Arial" w:cs="Arial"/>
                <w:i/>
                <w:sz w:val="20"/>
                <w:szCs w:val="20"/>
              </w:rPr>
              <w:t>]</w:t>
            </w:r>
          </w:p>
          <w:p w14:paraId="7E5E5403" w14:textId="77777777" w:rsidR="00AE7BB1" w:rsidRDefault="00AE7BB1" w:rsidP="00043D75">
            <w:pPr>
              <w:autoSpaceDE w:val="0"/>
              <w:autoSpaceDN w:val="0"/>
              <w:adjustRightInd w:val="0"/>
              <w:jc w:val="both"/>
              <w:rPr>
                <w:rFonts w:ascii="Arial" w:hAnsi="Arial" w:cs="Arial"/>
                <w:i/>
                <w:sz w:val="20"/>
                <w:szCs w:val="20"/>
              </w:rPr>
            </w:pPr>
          </w:p>
          <w:p w14:paraId="03C9F293" w14:textId="77777777" w:rsidR="00AE7BB1" w:rsidRPr="0049252C" w:rsidRDefault="00AE7BB1" w:rsidP="00AE7BB1">
            <w:pPr>
              <w:autoSpaceDE w:val="0"/>
              <w:autoSpaceDN w:val="0"/>
              <w:adjustRightInd w:val="0"/>
              <w:jc w:val="both"/>
              <w:rPr>
                <w:rFonts w:ascii="Arial" w:hAnsi="Arial"/>
                <w:sz w:val="20"/>
                <w:szCs w:val="20"/>
              </w:rPr>
            </w:pPr>
            <w:r w:rsidRPr="0049252C">
              <w:rPr>
                <w:rFonts w:ascii="Arial" w:hAnsi="Arial"/>
                <w:sz w:val="20"/>
                <w:szCs w:val="20"/>
              </w:rPr>
              <w:t xml:space="preserve">While women are more than half of the population and create roughly a third of companies, female entrepreneurs have more difficulties to rise finance for their ventures then men. Women businesses are often under-capitalised and use less external financing, instead relying on personal savings and spousal funds. </w:t>
            </w:r>
          </w:p>
          <w:p w14:paraId="756BB210" w14:textId="77777777" w:rsidR="00043D75" w:rsidRDefault="00043D75" w:rsidP="00043D75">
            <w:pPr>
              <w:autoSpaceDE w:val="0"/>
              <w:autoSpaceDN w:val="0"/>
              <w:adjustRightInd w:val="0"/>
              <w:jc w:val="both"/>
              <w:rPr>
                <w:rFonts w:ascii="Arial" w:hAnsi="Arial"/>
                <w:i/>
                <w:sz w:val="20"/>
                <w:szCs w:val="20"/>
              </w:rPr>
            </w:pPr>
          </w:p>
          <w:p w14:paraId="3F9B06A6" w14:textId="77777777" w:rsidR="00043D75" w:rsidRPr="001B3C24" w:rsidRDefault="00043D75" w:rsidP="00043D75">
            <w:pPr>
              <w:autoSpaceDE w:val="0"/>
              <w:autoSpaceDN w:val="0"/>
              <w:adjustRightInd w:val="0"/>
              <w:jc w:val="both"/>
              <w:rPr>
                <w:rFonts w:ascii="Arial" w:hAnsi="Arial"/>
                <w:sz w:val="20"/>
                <w:szCs w:val="20"/>
              </w:rPr>
            </w:pPr>
            <w:r w:rsidRPr="001B3C24">
              <w:rPr>
                <w:rFonts w:ascii="Arial" w:hAnsi="Arial"/>
                <w:sz w:val="20"/>
                <w:szCs w:val="20"/>
              </w:rPr>
              <w:t>The InvestEU SME Guarantee facility will aim to cover a part of the above mentioned market gaps and sub-optimal investment situations, while at the same time being additional to existing public or private schemes addressing the same areas.</w:t>
            </w:r>
          </w:p>
          <w:p w14:paraId="395AEB71" w14:textId="77777777" w:rsidR="00043D75" w:rsidRDefault="00043D75" w:rsidP="00043D75">
            <w:pPr>
              <w:autoSpaceDE w:val="0"/>
              <w:autoSpaceDN w:val="0"/>
              <w:adjustRightInd w:val="0"/>
              <w:jc w:val="both"/>
              <w:rPr>
                <w:rFonts w:ascii="Arial" w:hAnsi="Arial"/>
                <w:i/>
                <w:sz w:val="20"/>
                <w:szCs w:val="20"/>
              </w:rPr>
            </w:pPr>
          </w:p>
          <w:p w14:paraId="70071F6C" w14:textId="77777777" w:rsidR="0041088B" w:rsidRDefault="0041088B" w:rsidP="00260AA7">
            <w:pPr>
              <w:autoSpaceDE w:val="0"/>
              <w:autoSpaceDN w:val="0"/>
              <w:adjustRightInd w:val="0"/>
              <w:jc w:val="both"/>
              <w:rPr>
                <w:rFonts w:ascii="Arial" w:hAnsi="Arial"/>
                <w:i/>
                <w:sz w:val="20"/>
                <w:szCs w:val="20"/>
              </w:rPr>
            </w:pPr>
          </w:p>
          <w:p w14:paraId="5C4D561D" w14:textId="77777777" w:rsidR="006F46D1" w:rsidRDefault="006F46D1" w:rsidP="00260AA7">
            <w:pPr>
              <w:autoSpaceDE w:val="0"/>
              <w:autoSpaceDN w:val="0"/>
              <w:adjustRightInd w:val="0"/>
              <w:jc w:val="both"/>
              <w:rPr>
                <w:rFonts w:ascii="Arial" w:hAnsi="Arial"/>
                <w:i/>
                <w:sz w:val="20"/>
                <w:szCs w:val="20"/>
              </w:rPr>
            </w:pPr>
            <w:r>
              <w:rPr>
                <w:rFonts w:ascii="Arial" w:hAnsi="Arial"/>
                <w:i/>
                <w:sz w:val="20"/>
                <w:szCs w:val="20"/>
              </w:rPr>
              <w:t>Indicators:</w:t>
            </w:r>
            <w:r w:rsidR="00D92EA1">
              <w:rPr>
                <w:rFonts w:ascii="Arial" w:hAnsi="Arial"/>
                <w:i/>
                <w:sz w:val="20"/>
                <w:szCs w:val="20"/>
              </w:rPr>
              <w:t xml:space="preserve"> (to be </w:t>
            </w:r>
            <w:r w:rsidR="00766559">
              <w:rPr>
                <w:rFonts w:ascii="Arial" w:hAnsi="Arial"/>
                <w:i/>
                <w:sz w:val="20"/>
                <w:szCs w:val="20"/>
              </w:rPr>
              <w:t xml:space="preserve">further </w:t>
            </w:r>
            <w:r w:rsidR="00D92EA1">
              <w:rPr>
                <w:rFonts w:ascii="Arial" w:hAnsi="Arial"/>
                <w:i/>
                <w:sz w:val="20"/>
                <w:szCs w:val="20"/>
              </w:rPr>
              <w:t>developed)</w:t>
            </w:r>
          </w:p>
          <w:p w14:paraId="1DED7552" w14:textId="77777777" w:rsidR="006F46D1" w:rsidRDefault="006F46D1" w:rsidP="00D933C7">
            <w:pPr>
              <w:pStyle w:val="ListParagraph"/>
              <w:numPr>
                <w:ilvl w:val="0"/>
                <w:numId w:val="11"/>
              </w:numPr>
              <w:autoSpaceDE w:val="0"/>
              <w:autoSpaceDN w:val="0"/>
              <w:adjustRightInd w:val="0"/>
              <w:jc w:val="both"/>
              <w:rPr>
                <w:rFonts w:ascii="Arial" w:hAnsi="Arial"/>
                <w:i/>
                <w:sz w:val="20"/>
                <w:szCs w:val="20"/>
              </w:rPr>
            </w:pPr>
            <w:r w:rsidRPr="00D933C7">
              <w:rPr>
                <w:rFonts w:ascii="Arial" w:hAnsi="Arial"/>
                <w:i/>
                <w:sz w:val="20"/>
                <w:szCs w:val="20"/>
              </w:rPr>
              <w:t xml:space="preserve">Expected target leverage: </w:t>
            </w:r>
            <w:r w:rsidR="00766559">
              <w:rPr>
                <w:rFonts w:ascii="Arial" w:hAnsi="Arial"/>
                <w:i/>
                <w:sz w:val="20"/>
                <w:szCs w:val="20"/>
              </w:rPr>
              <w:t>XX</w:t>
            </w:r>
          </w:p>
          <w:p w14:paraId="39BA9C03" w14:textId="77777777" w:rsidR="00D933C7" w:rsidRDefault="00D933C7" w:rsidP="00D933C7">
            <w:pPr>
              <w:pStyle w:val="ListParagraph"/>
              <w:numPr>
                <w:ilvl w:val="0"/>
                <w:numId w:val="11"/>
              </w:numPr>
              <w:autoSpaceDE w:val="0"/>
              <w:autoSpaceDN w:val="0"/>
              <w:adjustRightInd w:val="0"/>
              <w:jc w:val="both"/>
              <w:rPr>
                <w:rFonts w:ascii="Arial" w:hAnsi="Arial"/>
                <w:i/>
                <w:sz w:val="20"/>
                <w:szCs w:val="20"/>
              </w:rPr>
            </w:pPr>
            <w:r>
              <w:rPr>
                <w:rFonts w:ascii="Arial" w:hAnsi="Arial"/>
                <w:i/>
                <w:sz w:val="20"/>
                <w:szCs w:val="20"/>
              </w:rPr>
              <w:t xml:space="preserve">Expected number of SMEs to be supported  within the overall population of final recipients: </w:t>
            </w:r>
            <w:r w:rsidR="00766559">
              <w:rPr>
                <w:rFonts w:ascii="Arial" w:hAnsi="Arial"/>
                <w:i/>
                <w:sz w:val="20"/>
                <w:szCs w:val="20"/>
              </w:rPr>
              <w:t>XX</w:t>
            </w:r>
          </w:p>
          <w:p w14:paraId="46FFF508" w14:textId="77777777" w:rsidR="00D933C7" w:rsidRDefault="00D933C7" w:rsidP="00D933C7">
            <w:pPr>
              <w:pStyle w:val="ListParagraph"/>
              <w:numPr>
                <w:ilvl w:val="0"/>
                <w:numId w:val="11"/>
              </w:numPr>
              <w:autoSpaceDE w:val="0"/>
              <w:autoSpaceDN w:val="0"/>
              <w:adjustRightInd w:val="0"/>
              <w:jc w:val="both"/>
              <w:rPr>
                <w:rFonts w:ascii="Arial" w:hAnsi="Arial"/>
                <w:i/>
                <w:sz w:val="20"/>
                <w:szCs w:val="20"/>
              </w:rPr>
            </w:pPr>
            <w:r>
              <w:rPr>
                <w:rFonts w:ascii="Arial" w:hAnsi="Arial"/>
                <w:i/>
                <w:sz w:val="20"/>
                <w:szCs w:val="20"/>
              </w:rPr>
              <w:t xml:space="preserve">Start-ups to be supported within the overall population of final recipients: </w:t>
            </w:r>
            <w:r w:rsidR="00766559">
              <w:rPr>
                <w:rFonts w:ascii="Arial" w:hAnsi="Arial"/>
                <w:i/>
                <w:sz w:val="20"/>
                <w:szCs w:val="20"/>
              </w:rPr>
              <w:t>XX</w:t>
            </w:r>
          </w:p>
          <w:p w14:paraId="64681ADB" w14:textId="77777777" w:rsidR="006F46D1" w:rsidRPr="00D933C7" w:rsidRDefault="006F46D1" w:rsidP="00D933C7">
            <w:pPr>
              <w:pStyle w:val="ListParagraph"/>
              <w:numPr>
                <w:ilvl w:val="0"/>
                <w:numId w:val="11"/>
              </w:numPr>
              <w:autoSpaceDE w:val="0"/>
              <w:autoSpaceDN w:val="0"/>
              <w:adjustRightInd w:val="0"/>
              <w:jc w:val="both"/>
              <w:rPr>
                <w:rFonts w:ascii="Arial" w:hAnsi="Arial"/>
                <w:i/>
                <w:sz w:val="20"/>
                <w:szCs w:val="20"/>
              </w:rPr>
            </w:pPr>
            <w:r w:rsidRPr="00D933C7">
              <w:rPr>
                <w:rFonts w:ascii="Arial" w:hAnsi="Arial"/>
                <w:i/>
                <w:sz w:val="20"/>
                <w:szCs w:val="20"/>
              </w:rPr>
              <w:t xml:space="preserve">% of </w:t>
            </w:r>
            <w:r w:rsidR="00F8784B">
              <w:rPr>
                <w:rFonts w:ascii="Arial" w:hAnsi="Arial"/>
                <w:i/>
                <w:sz w:val="20"/>
                <w:szCs w:val="20"/>
              </w:rPr>
              <w:t xml:space="preserve">high-risk </w:t>
            </w:r>
            <w:r w:rsidRPr="00D933C7">
              <w:rPr>
                <w:rFonts w:ascii="Arial" w:hAnsi="Arial"/>
                <w:i/>
                <w:sz w:val="20"/>
                <w:szCs w:val="20"/>
              </w:rPr>
              <w:t xml:space="preserve">innovation transactions within the overall </w:t>
            </w:r>
            <w:r w:rsidR="00D933C7" w:rsidRPr="00D933C7">
              <w:rPr>
                <w:rFonts w:ascii="Arial" w:hAnsi="Arial"/>
                <w:i/>
                <w:sz w:val="20"/>
                <w:szCs w:val="20"/>
              </w:rPr>
              <w:t>volume of financing supported</w:t>
            </w:r>
            <w:r w:rsidRPr="00D933C7">
              <w:rPr>
                <w:rFonts w:ascii="Arial" w:hAnsi="Arial"/>
                <w:i/>
                <w:sz w:val="20"/>
                <w:szCs w:val="20"/>
              </w:rPr>
              <w:t>:</w:t>
            </w:r>
            <w:r w:rsidR="00F8784B">
              <w:rPr>
                <w:rFonts w:ascii="Arial" w:hAnsi="Arial"/>
                <w:i/>
                <w:sz w:val="20"/>
                <w:szCs w:val="20"/>
              </w:rPr>
              <w:t xml:space="preserve"> </w:t>
            </w:r>
            <w:r w:rsidR="002969DC">
              <w:rPr>
                <w:rFonts w:ascii="Arial" w:hAnsi="Arial"/>
                <w:i/>
                <w:sz w:val="20"/>
                <w:szCs w:val="20"/>
              </w:rPr>
              <w:t xml:space="preserve">at least </w:t>
            </w:r>
            <w:r w:rsidR="00766559">
              <w:rPr>
                <w:rFonts w:ascii="Arial" w:hAnsi="Arial"/>
                <w:i/>
                <w:sz w:val="20"/>
                <w:szCs w:val="20"/>
              </w:rPr>
              <w:t>XX</w:t>
            </w:r>
          </w:p>
          <w:p w14:paraId="08DB336E" w14:textId="77777777" w:rsidR="00D933C7" w:rsidRPr="00D933C7" w:rsidRDefault="00D933C7" w:rsidP="00D933C7">
            <w:pPr>
              <w:pStyle w:val="ListParagraph"/>
              <w:numPr>
                <w:ilvl w:val="0"/>
                <w:numId w:val="11"/>
              </w:numPr>
              <w:autoSpaceDE w:val="0"/>
              <w:autoSpaceDN w:val="0"/>
              <w:adjustRightInd w:val="0"/>
              <w:jc w:val="both"/>
              <w:rPr>
                <w:rFonts w:ascii="Arial" w:hAnsi="Arial"/>
                <w:i/>
                <w:sz w:val="20"/>
                <w:szCs w:val="20"/>
              </w:rPr>
            </w:pPr>
            <w:r w:rsidRPr="00D933C7">
              <w:rPr>
                <w:rFonts w:ascii="Arial" w:hAnsi="Arial"/>
                <w:i/>
                <w:sz w:val="20"/>
                <w:szCs w:val="20"/>
              </w:rPr>
              <w:t xml:space="preserve">% of digitalisation transactions within the overall volume of financing supported: </w:t>
            </w:r>
            <w:r w:rsidR="00766559">
              <w:rPr>
                <w:rFonts w:ascii="Arial" w:hAnsi="Arial"/>
                <w:i/>
                <w:sz w:val="20"/>
                <w:szCs w:val="20"/>
              </w:rPr>
              <w:t>XX</w:t>
            </w:r>
          </w:p>
          <w:p w14:paraId="5C50BDB4" w14:textId="77777777" w:rsidR="00D933C7" w:rsidRDefault="00D933C7" w:rsidP="00D933C7">
            <w:pPr>
              <w:pStyle w:val="ListParagraph"/>
              <w:numPr>
                <w:ilvl w:val="0"/>
                <w:numId w:val="11"/>
              </w:numPr>
              <w:autoSpaceDE w:val="0"/>
              <w:autoSpaceDN w:val="0"/>
              <w:adjustRightInd w:val="0"/>
              <w:jc w:val="both"/>
              <w:rPr>
                <w:rFonts w:ascii="Arial" w:hAnsi="Arial"/>
                <w:i/>
                <w:sz w:val="20"/>
                <w:szCs w:val="20"/>
              </w:rPr>
            </w:pPr>
            <w:r w:rsidRPr="00D933C7">
              <w:rPr>
                <w:rFonts w:ascii="Arial" w:hAnsi="Arial"/>
                <w:i/>
                <w:sz w:val="20"/>
                <w:szCs w:val="20"/>
              </w:rPr>
              <w:t xml:space="preserve">% of CCS transactions within the overall volume of financing supported: </w:t>
            </w:r>
            <w:r w:rsidR="00766559">
              <w:rPr>
                <w:rFonts w:ascii="Arial" w:hAnsi="Arial"/>
                <w:i/>
                <w:sz w:val="20"/>
                <w:szCs w:val="20"/>
              </w:rPr>
              <w:t>XX</w:t>
            </w:r>
          </w:p>
          <w:p w14:paraId="208A8BD1" w14:textId="77777777" w:rsidR="00043D75" w:rsidRPr="0049252C" w:rsidRDefault="00043D75" w:rsidP="00D933C7">
            <w:pPr>
              <w:pStyle w:val="ListParagraph"/>
              <w:numPr>
                <w:ilvl w:val="0"/>
                <w:numId w:val="11"/>
              </w:numPr>
              <w:autoSpaceDE w:val="0"/>
              <w:autoSpaceDN w:val="0"/>
              <w:adjustRightInd w:val="0"/>
              <w:jc w:val="both"/>
              <w:rPr>
                <w:rFonts w:ascii="Arial" w:hAnsi="Arial"/>
                <w:i/>
                <w:sz w:val="20"/>
                <w:szCs w:val="20"/>
              </w:rPr>
            </w:pPr>
            <w:r w:rsidRPr="0049252C">
              <w:rPr>
                <w:rFonts w:ascii="Arial" w:hAnsi="Arial" w:cs="Arial"/>
                <w:i/>
                <w:sz w:val="20"/>
                <w:szCs w:val="20"/>
              </w:rPr>
              <w:t>[</w:t>
            </w:r>
            <w:r w:rsidRPr="0049252C">
              <w:rPr>
                <w:rFonts w:ascii="Arial" w:hAnsi="Arial"/>
                <w:i/>
                <w:sz w:val="20"/>
                <w:szCs w:val="20"/>
              </w:rPr>
              <w:t>Indicator for sustainability</w:t>
            </w:r>
            <w:r w:rsidRPr="0049252C">
              <w:rPr>
                <w:rFonts w:ascii="Arial" w:hAnsi="Arial" w:cs="Arial"/>
                <w:i/>
                <w:sz w:val="20"/>
                <w:szCs w:val="20"/>
              </w:rPr>
              <w:t>]</w:t>
            </w:r>
          </w:p>
          <w:p w14:paraId="7E229A34" w14:textId="77777777" w:rsidR="00AE7BB1" w:rsidRPr="0049252C" w:rsidRDefault="00AE7BB1" w:rsidP="00D933C7">
            <w:pPr>
              <w:pStyle w:val="ListParagraph"/>
              <w:numPr>
                <w:ilvl w:val="0"/>
                <w:numId w:val="11"/>
              </w:numPr>
              <w:autoSpaceDE w:val="0"/>
              <w:autoSpaceDN w:val="0"/>
              <w:adjustRightInd w:val="0"/>
              <w:jc w:val="both"/>
              <w:rPr>
                <w:rFonts w:ascii="Arial" w:hAnsi="Arial"/>
                <w:i/>
                <w:sz w:val="20"/>
                <w:szCs w:val="20"/>
              </w:rPr>
            </w:pPr>
            <w:r w:rsidRPr="0049252C">
              <w:rPr>
                <w:rFonts w:ascii="Arial" w:hAnsi="Arial"/>
                <w:i/>
                <w:sz w:val="20"/>
                <w:szCs w:val="20"/>
              </w:rPr>
              <w:t xml:space="preserve">Female-led businesses to be supported within the overall population of final recipients: </w:t>
            </w:r>
            <w:r w:rsidR="00766559">
              <w:rPr>
                <w:rFonts w:ascii="Arial" w:hAnsi="Arial"/>
                <w:i/>
                <w:sz w:val="20"/>
                <w:szCs w:val="20"/>
              </w:rPr>
              <w:t>XX</w:t>
            </w:r>
            <w:r w:rsidRPr="0049252C">
              <w:rPr>
                <w:rFonts w:ascii="Arial" w:hAnsi="Arial"/>
                <w:i/>
                <w:sz w:val="20"/>
                <w:szCs w:val="20"/>
              </w:rPr>
              <w:t xml:space="preserve">% </w:t>
            </w:r>
          </w:p>
          <w:p w14:paraId="1082AF76" w14:textId="77777777" w:rsidR="006F46D1" w:rsidRDefault="006F46D1" w:rsidP="00260AA7">
            <w:pPr>
              <w:autoSpaceDE w:val="0"/>
              <w:autoSpaceDN w:val="0"/>
              <w:adjustRightInd w:val="0"/>
              <w:jc w:val="both"/>
              <w:rPr>
                <w:rFonts w:ascii="Arial" w:hAnsi="Arial"/>
                <w:i/>
                <w:sz w:val="20"/>
                <w:szCs w:val="20"/>
              </w:rPr>
            </w:pPr>
          </w:p>
          <w:p w14:paraId="0091EB02" w14:textId="77777777" w:rsidR="006F46D1" w:rsidRPr="00360490" w:rsidRDefault="006F46D1" w:rsidP="00260AA7">
            <w:pPr>
              <w:autoSpaceDE w:val="0"/>
              <w:autoSpaceDN w:val="0"/>
              <w:adjustRightInd w:val="0"/>
              <w:jc w:val="both"/>
              <w:rPr>
                <w:rFonts w:ascii="Arial" w:hAnsi="Arial"/>
                <w:i/>
                <w:sz w:val="20"/>
                <w:szCs w:val="20"/>
              </w:rPr>
            </w:pPr>
          </w:p>
          <w:p w14:paraId="78F1547C" w14:textId="77777777" w:rsidR="0008742E" w:rsidRPr="00360490" w:rsidRDefault="0008742E" w:rsidP="00260AA7">
            <w:pPr>
              <w:autoSpaceDE w:val="0"/>
              <w:autoSpaceDN w:val="0"/>
              <w:adjustRightInd w:val="0"/>
              <w:jc w:val="both"/>
              <w:rPr>
                <w:rFonts w:ascii="Arial" w:hAnsi="Arial"/>
                <w:i/>
                <w:sz w:val="20"/>
                <w:szCs w:val="20"/>
              </w:rPr>
            </w:pPr>
            <w:r w:rsidRPr="00360490">
              <w:rPr>
                <w:rFonts w:ascii="Arial" w:hAnsi="Arial"/>
                <w:i/>
                <w:sz w:val="20"/>
                <w:szCs w:val="20"/>
              </w:rPr>
              <w:t xml:space="preserve"> </w:t>
            </w:r>
          </w:p>
        </w:tc>
      </w:tr>
      <w:tr w:rsidR="0008742E" w:rsidRPr="00360490" w14:paraId="5C2C5F52" w14:textId="77777777" w:rsidTr="00284A08">
        <w:tc>
          <w:tcPr>
            <w:tcW w:w="803" w:type="dxa"/>
          </w:tcPr>
          <w:p w14:paraId="711895F3" w14:textId="77777777" w:rsidR="0008742E" w:rsidRPr="00360490" w:rsidRDefault="0008742E" w:rsidP="0008742E">
            <w:pPr>
              <w:rPr>
                <w:rFonts w:ascii="Arial" w:hAnsi="Arial"/>
                <w:b/>
                <w:sz w:val="20"/>
                <w:szCs w:val="20"/>
              </w:rPr>
            </w:pPr>
            <w:r w:rsidRPr="00360490">
              <w:rPr>
                <w:rFonts w:ascii="Arial" w:hAnsi="Arial"/>
                <w:b/>
                <w:sz w:val="20"/>
                <w:szCs w:val="20"/>
              </w:rPr>
              <w:lastRenderedPageBreak/>
              <w:t>5.</w:t>
            </w:r>
          </w:p>
        </w:tc>
        <w:tc>
          <w:tcPr>
            <w:tcW w:w="2514" w:type="dxa"/>
          </w:tcPr>
          <w:p w14:paraId="573D7693" w14:textId="77777777" w:rsidR="0008742E" w:rsidRPr="00360490" w:rsidRDefault="0008742E" w:rsidP="0008742E">
            <w:pPr>
              <w:rPr>
                <w:rFonts w:ascii="Arial" w:hAnsi="Arial"/>
                <w:b/>
                <w:sz w:val="20"/>
                <w:szCs w:val="20"/>
              </w:rPr>
            </w:pPr>
            <w:r w:rsidRPr="00360490">
              <w:rPr>
                <w:rFonts w:ascii="Arial" w:hAnsi="Arial"/>
                <w:b/>
                <w:sz w:val="20"/>
                <w:szCs w:val="20"/>
              </w:rPr>
              <w:t>New /existing product</w:t>
            </w:r>
          </w:p>
        </w:tc>
        <w:tc>
          <w:tcPr>
            <w:tcW w:w="7247" w:type="dxa"/>
          </w:tcPr>
          <w:p w14:paraId="6BFAC36F" w14:textId="21741FFE" w:rsidR="0008742E" w:rsidRPr="00360490" w:rsidRDefault="00687765" w:rsidP="0008742E">
            <w:pPr>
              <w:tabs>
                <w:tab w:val="left" w:pos="915"/>
              </w:tabs>
              <w:autoSpaceDE w:val="0"/>
              <w:autoSpaceDN w:val="0"/>
              <w:adjustRightInd w:val="0"/>
              <w:jc w:val="both"/>
              <w:rPr>
                <w:rFonts w:ascii="Arial" w:hAnsi="Arial"/>
                <w:sz w:val="20"/>
                <w:szCs w:val="20"/>
              </w:rPr>
            </w:pPr>
            <w:sdt>
              <w:sdtPr>
                <w:rPr>
                  <w:rFonts w:ascii="Arial" w:hAnsi="Arial" w:cs="Arial"/>
                  <w:sz w:val="20"/>
                  <w:szCs w:val="20"/>
                </w:rPr>
                <w:id w:val="844358298"/>
                <w14:checkbox>
                  <w14:checked w14:val="1"/>
                  <w14:checkedState w14:val="2612" w14:font="MS Gothic"/>
                  <w14:uncheckedState w14:val="2610" w14:font="MS Gothic"/>
                </w14:checkbox>
              </w:sdtPr>
              <w:sdtEndPr/>
              <w:sdtContent>
                <w:r w:rsidR="0084605E">
                  <w:rPr>
                    <w:rFonts w:ascii="MS Gothic" w:eastAsia="MS Gothic" w:hAnsi="MS Gothic" w:cs="Arial" w:hint="eastAsia"/>
                    <w:sz w:val="20"/>
                    <w:szCs w:val="20"/>
                  </w:rPr>
                  <w:t>☒</w:t>
                </w:r>
              </w:sdtContent>
            </w:sdt>
            <w:r w:rsidR="0008742E" w:rsidRPr="00360490">
              <w:rPr>
                <w:rFonts w:ascii="Arial" w:hAnsi="Arial"/>
                <w:sz w:val="20"/>
                <w:szCs w:val="20"/>
              </w:rPr>
              <w:t xml:space="preserve"> New product</w:t>
            </w:r>
          </w:p>
          <w:p w14:paraId="1FC05900" w14:textId="22D1F349" w:rsidR="00D65C93" w:rsidRPr="00687765" w:rsidRDefault="00687765" w:rsidP="00687765">
            <w:pPr>
              <w:tabs>
                <w:tab w:val="left" w:pos="915"/>
              </w:tabs>
              <w:autoSpaceDE w:val="0"/>
              <w:autoSpaceDN w:val="0"/>
              <w:adjustRightInd w:val="0"/>
              <w:jc w:val="both"/>
              <w:rPr>
                <w:rFonts w:ascii="Arial" w:hAnsi="Arial" w:cs="Arial"/>
                <w:i/>
                <w:sz w:val="20"/>
                <w:szCs w:val="20"/>
              </w:rPr>
            </w:pPr>
            <w:sdt>
              <w:sdtPr>
                <w:rPr>
                  <w:rFonts w:ascii="Arial" w:hAnsi="Arial" w:cs="Arial"/>
                  <w:sz w:val="20"/>
                  <w:szCs w:val="20"/>
                </w:rPr>
                <w:id w:val="-783963456"/>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Pr="00360490">
              <w:rPr>
                <w:rFonts w:ascii="Arial" w:hAnsi="Arial"/>
                <w:sz w:val="20"/>
                <w:szCs w:val="20"/>
              </w:rPr>
              <w:t xml:space="preserve"> </w:t>
            </w:r>
            <w:r w:rsidR="0008742E" w:rsidRPr="00A15AE3">
              <w:rPr>
                <w:rFonts w:ascii="Arial" w:hAnsi="Arial" w:cs="Arial"/>
                <w:b/>
                <w:sz w:val="20"/>
                <w:szCs w:val="20"/>
              </w:rPr>
              <w:t xml:space="preserve">Continuation </w:t>
            </w:r>
            <w:r w:rsidR="00564EFA" w:rsidRPr="00A15AE3">
              <w:rPr>
                <w:rFonts w:ascii="Arial" w:hAnsi="Arial" w:cs="Arial"/>
                <w:b/>
                <w:sz w:val="20"/>
                <w:szCs w:val="20"/>
              </w:rPr>
              <w:t>and evolution</w:t>
            </w:r>
            <w:r w:rsidR="00564EFA">
              <w:rPr>
                <w:rFonts w:ascii="Arial" w:hAnsi="Arial" w:cs="Arial"/>
                <w:sz w:val="20"/>
                <w:szCs w:val="20"/>
              </w:rPr>
              <w:t xml:space="preserve"> </w:t>
            </w:r>
            <w:r w:rsidR="0008742E" w:rsidRPr="00360490">
              <w:rPr>
                <w:rFonts w:ascii="Arial" w:hAnsi="Arial" w:cs="Arial"/>
                <w:sz w:val="20"/>
                <w:szCs w:val="20"/>
              </w:rPr>
              <w:t>of existing product</w:t>
            </w:r>
            <w:r w:rsidR="006F46D1">
              <w:rPr>
                <w:rFonts w:ascii="Arial" w:hAnsi="Arial" w:cs="Arial"/>
                <w:sz w:val="20"/>
                <w:szCs w:val="20"/>
              </w:rPr>
              <w:t>s</w:t>
            </w:r>
          </w:p>
          <w:p w14:paraId="6F92F8E7" w14:textId="77777777" w:rsidR="00A341A3" w:rsidRDefault="00A341A3" w:rsidP="003C008E">
            <w:pPr>
              <w:jc w:val="both"/>
              <w:rPr>
                <w:rFonts w:ascii="Arial" w:hAnsi="Arial" w:cs="Arial"/>
                <w:sz w:val="20"/>
                <w:szCs w:val="20"/>
              </w:rPr>
            </w:pPr>
          </w:p>
          <w:p w14:paraId="71D082EE" w14:textId="3C64BE60" w:rsidR="00A341A3" w:rsidRDefault="00A341A3" w:rsidP="003C008E">
            <w:pPr>
              <w:jc w:val="both"/>
              <w:rPr>
                <w:rFonts w:ascii="Arial" w:hAnsi="Arial" w:cs="Arial"/>
                <w:sz w:val="20"/>
                <w:szCs w:val="20"/>
              </w:rPr>
            </w:pPr>
            <w:r>
              <w:rPr>
                <w:rFonts w:ascii="Arial" w:hAnsi="Arial" w:cs="Arial"/>
                <w:sz w:val="20"/>
                <w:szCs w:val="20"/>
              </w:rPr>
              <w:t xml:space="preserve">[ to be developed by the implementing partner based on their experience ] </w:t>
            </w:r>
          </w:p>
          <w:p w14:paraId="31231F68" w14:textId="77777777" w:rsidR="00D65C93" w:rsidRDefault="00D65C93" w:rsidP="003C008E">
            <w:pPr>
              <w:jc w:val="both"/>
              <w:rPr>
                <w:rFonts w:ascii="Arial" w:hAnsi="Arial" w:cs="Arial"/>
                <w:sz w:val="20"/>
                <w:szCs w:val="20"/>
              </w:rPr>
            </w:pPr>
          </w:p>
          <w:p w14:paraId="2B789A6C" w14:textId="77777777" w:rsidR="00434C36" w:rsidRDefault="00D65C93" w:rsidP="00D65C93">
            <w:pPr>
              <w:jc w:val="both"/>
              <w:rPr>
                <w:rFonts w:ascii="Arial" w:hAnsi="Arial" w:cs="Arial"/>
                <w:sz w:val="20"/>
                <w:szCs w:val="20"/>
              </w:rPr>
            </w:pPr>
            <w:r>
              <w:rPr>
                <w:rFonts w:ascii="Arial" w:hAnsi="Arial" w:cs="Arial"/>
                <w:sz w:val="20"/>
                <w:szCs w:val="20"/>
              </w:rPr>
              <w:t xml:space="preserve">The complementarity with instruments established at regional or national level will be strengthened </w:t>
            </w:r>
            <w:r w:rsidR="00434C36">
              <w:rPr>
                <w:rFonts w:ascii="Arial" w:hAnsi="Arial" w:cs="Arial"/>
                <w:sz w:val="20"/>
                <w:szCs w:val="20"/>
              </w:rPr>
              <w:t xml:space="preserve">and verified as part of the policy check to be undertaken </w:t>
            </w:r>
            <w:r w:rsidR="00434C36">
              <w:rPr>
                <w:rFonts w:ascii="Arial" w:hAnsi="Arial" w:cs="Arial"/>
                <w:sz w:val="20"/>
                <w:szCs w:val="20"/>
              </w:rPr>
              <w:lastRenderedPageBreak/>
              <w:t xml:space="preserve">by the European Commission. </w:t>
            </w:r>
          </w:p>
          <w:p w14:paraId="4CC8D935" w14:textId="77777777" w:rsidR="00434C36" w:rsidRDefault="00434C36" w:rsidP="00D65C93">
            <w:pPr>
              <w:jc w:val="both"/>
              <w:rPr>
                <w:rFonts w:ascii="Arial" w:hAnsi="Arial" w:cs="Arial"/>
                <w:sz w:val="20"/>
                <w:szCs w:val="20"/>
              </w:rPr>
            </w:pPr>
          </w:p>
          <w:p w14:paraId="50419407" w14:textId="77777777" w:rsidR="0008742E" w:rsidRDefault="00434C36" w:rsidP="00D65C93">
            <w:pPr>
              <w:jc w:val="both"/>
              <w:rPr>
                <w:rFonts w:ascii="Arial" w:hAnsi="Arial" w:cs="Arial"/>
                <w:sz w:val="20"/>
                <w:szCs w:val="20"/>
              </w:rPr>
            </w:pPr>
            <w:r>
              <w:rPr>
                <w:rFonts w:ascii="Arial" w:hAnsi="Arial" w:cs="Arial"/>
                <w:sz w:val="20"/>
                <w:szCs w:val="20"/>
              </w:rPr>
              <w:t xml:space="preserve">The EU guarantee shall only </w:t>
            </w:r>
            <w:r w:rsidR="00D65C93">
              <w:rPr>
                <w:rFonts w:ascii="Arial" w:hAnsi="Arial" w:cs="Arial"/>
                <w:sz w:val="20"/>
                <w:szCs w:val="20"/>
              </w:rPr>
              <w:t xml:space="preserve">be provided </w:t>
            </w:r>
            <w:r w:rsidR="00091260">
              <w:rPr>
                <w:rFonts w:ascii="Arial" w:hAnsi="Arial" w:cs="Arial"/>
                <w:sz w:val="20"/>
                <w:szCs w:val="20"/>
              </w:rPr>
              <w:t xml:space="preserve">to </w:t>
            </w:r>
            <w:r>
              <w:rPr>
                <w:rFonts w:ascii="Arial" w:hAnsi="Arial" w:cs="Arial"/>
                <w:sz w:val="20"/>
                <w:szCs w:val="20"/>
              </w:rPr>
              <w:t xml:space="preserve">public and private </w:t>
            </w:r>
            <w:r w:rsidR="00091260">
              <w:rPr>
                <w:rFonts w:ascii="Arial" w:hAnsi="Arial" w:cs="Arial"/>
                <w:sz w:val="20"/>
                <w:szCs w:val="20"/>
              </w:rPr>
              <w:t xml:space="preserve">financial intermediaries </w:t>
            </w:r>
            <w:r w:rsidR="00D65C93">
              <w:rPr>
                <w:rFonts w:ascii="Arial" w:hAnsi="Arial" w:cs="Arial"/>
                <w:sz w:val="20"/>
                <w:szCs w:val="20"/>
              </w:rPr>
              <w:t xml:space="preserve">as last resort and </w:t>
            </w:r>
            <w:r>
              <w:rPr>
                <w:rFonts w:ascii="Arial" w:hAnsi="Arial" w:cs="Arial"/>
                <w:sz w:val="20"/>
                <w:szCs w:val="20"/>
              </w:rPr>
              <w:t xml:space="preserve">shall </w:t>
            </w:r>
            <w:r w:rsidR="00D65C93">
              <w:rPr>
                <w:rFonts w:ascii="Arial" w:hAnsi="Arial" w:cs="Arial"/>
                <w:sz w:val="20"/>
                <w:szCs w:val="20"/>
              </w:rPr>
              <w:t>not c</w:t>
            </w:r>
            <w:r w:rsidR="00AA5A43">
              <w:rPr>
                <w:rFonts w:ascii="Arial" w:hAnsi="Arial" w:cs="Arial"/>
                <w:sz w:val="20"/>
                <w:szCs w:val="20"/>
              </w:rPr>
              <w:t>rowd-out</w:t>
            </w:r>
            <w:r w:rsidR="00D65C93">
              <w:rPr>
                <w:rFonts w:ascii="Arial" w:hAnsi="Arial" w:cs="Arial"/>
                <w:sz w:val="20"/>
                <w:szCs w:val="20"/>
              </w:rPr>
              <w:t xml:space="preserve"> existing instruments</w:t>
            </w:r>
            <w:r w:rsidR="00091260">
              <w:rPr>
                <w:rFonts w:ascii="Arial" w:hAnsi="Arial" w:cs="Arial"/>
                <w:sz w:val="20"/>
                <w:szCs w:val="20"/>
              </w:rPr>
              <w:t xml:space="preserve"> established at national or regional level</w:t>
            </w:r>
            <w:r w:rsidR="00D65C93">
              <w:rPr>
                <w:rFonts w:ascii="Arial" w:hAnsi="Arial" w:cs="Arial"/>
                <w:sz w:val="20"/>
                <w:szCs w:val="20"/>
              </w:rPr>
              <w:t>.</w:t>
            </w:r>
          </w:p>
          <w:p w14:paraId="7ED8BF35" w14:textId="77777777" w:rsidR="0008742E" w:rsidRPr="00360490" w:rsidRDefault="0008742E" w:rsidP="00D11888">
            <w:pPr>
              <w:jc w:val="both"/>
              <w:rPr>
                <w:rFonts w:ascii="Arial" w:hAnsi="Arial"/>
                <w:sz w:val="20"/>
                <w:szCs w:val="20"/>
              </w:rPr>
            </w:pPr>
          </w:p>
        </w:tc>
      </w:tr>
      <w:tr w:rsidR="00A903D3" w:rsidRPr="00360490" w14:paraId="3A921FED" w14:textId="77777777" w:rsidTr="00284A08">
        <w:tc>
          <w:tcPr>
            <w:tcW w:w="803" w:type="dxa"/>
          </w:tcPr>
          <w:p w14:paraId="2D51AB6D" w14:textId="77777777" w:rsidR="00A903D3" w:rsidRPr="00360490" w:rsidRDefault="00A903D3" w:rsidP="00A903D3">
            <w:pPr>
              <w:rPr>
                <w:rFonts w:ascii="Arial" w:hAnsi="Arial"/>
                <w:b/>
                <w:sz w:val="20"/>
                <w:szCs w:val="20"/>
              </w:rPr>
            </w:pPr>
            <w:r w:rsidRPr="00360490">
              <w:rPr>
                <w:rFonts w:ascii="Arial" w:hAnsi="Arial"/>
                <w:b/>
                <w:sz w:val="20"/>
                <w:szCs w:val="20"/>
              </w:rPr>
              <w:lastRenderedPageBreak/>
              <w:t>6.</w:t>
            </w:r>
          </w:p>
        </w:tc>
        <w:tc>
          <w:tcPr>
            <w:tcW w:w="2514" w:type="dxa"/>
          </w:tcPr>
          <w:p w14:paraId="312A37E2" w14:textId="77777777" w:rsidR="00A903D3" w:rsidRPr="00360490" w:rsidRDefault="00A903D3" w:rsidP="00A903D3">
            <w:pPr>
              <w:rPr>
                <w:rFonts w:ascii="Arial" w:hAnsi="Arial"/>
                <w:b/>
                <w:sz w:val="20"/>
                <w:szCs w:val="20"/>
              </w:rPr>
            </w:pPr>
            <w:r w:rsidRPr="00360490">
              <w:rPr>
                <w:rFonts w:ascii="Arial" w:hAnsi="Arial"/>
                <w:b/>
                <w:sz w:val="20"/>
                <w:szCs w:val="20"/>
              </w:rPr>
              <w:t>Targeted Sectors</w:t>
            </w:r>
          </w:p>
        </w:tc>
        <w:tc>
          <w:tcPr>
            <w:tcW w:w="7247" w:type="dxa"/>
            <w:shd w:val="clear" w:color="auto" w:fill="auto"/>
          </w:tcPr>
          <w:p w14:paraId="3BAEB749" w14:textId="4D551893" w:rsidR="00A903D3" w:rsidRDefault="00A903D3" w:rsidP="00A903D3">
            <w:pPr>
              <w:tabs>
                <w:tab w:val="left" w:pos="1605"/>
              </w:tabs>
              <w:autoSpaceDE w:val="0"/>
              <w:autoSpaceDN w:val="0"/>
              <w:adjustRightInd w:val="0"/>
              <w:jc w:val="both"/>
              <w:rPr>
                <w:rFonts w:ascii="Arial" w:hAnsi="Arial" w:cs="Arial"/>
                <w:sz w:val="20"/>
                <w:szCs w:val="20"/>
              </w:rPr>
            </w:pPr>
            <w:r>
              <w:rPr>
                <w:rFonts w:ascii="Arial" w:hAnsi="Arial" w:cs="Arial"/>
                <w:sz w:val="20"/>
                <w:szCs w:val="20"/>
              </w:rPr>
              <w:t xml:space="preserve">The </w:t>
            </w:r>
            <w:r w:rsidRPr="00B15C12">
              <w:rPr>
                <w:rFonts w:ascii="Arial" w:hAnsi="Arial" w:cs="Arial"/>
                <w:sz w:val="20"/>
                <w:szCs w:val="20"/>
              </w:rPr>
              <w:t xml:space="preserve">product </w:t>
            </w:r>
            <w:r w:rsidR="0084605E" w:rsidRPr="00B15C12">
              <w:rPr>
                <w:rFonts w:ascii="Arial" w:hAnsi="Arial" w:cs="Arial"/>
                <w:sz w:val="20"/>
                <w:szCs w:val="20"/>
              </w:rPr>
              <w:t xml:space="preserve">may </w:t>
            </w:r>
            <w:r w:rsidR="00091260" w:rsidRPr="00B15C12">
              <w:rPr>
                <w:rFonts w:ascii="Arial" w:hAnsi="Arial" w:cs="Arial"/>
                <w:sz w:val="20"/>
                <w:szCs w:val="20"/>
              </w:rPr>
              <w:t xml:space="preserve">in principle </w:t>
            </w:r>
            <w:r w:rsidRPr="00D70FAA">
              <w:rPr>
                <w:rFonts w:ascii="Arial" w:hAnsi="Arial" w:cs="Arial"/>
                <w:sz w:val="20"/>
                <w:szCs w:val="20"/>
              </w:rPr>
              <w:t xml:space="preserve">cover </w:t>
            </w:r>
            <w:r w:rsidR="0084605E" w:rsidRPr="00D70FAA">
              <w:rPr>
                <w:rFonts w:ascii="Arial" w:hAnsi="Arial" w:cs="Arial"/>
                <w:sz w:val="20"/>
                <w:szCs w:val="20"/>
              </w:rPr>
              <w:t>any of the</w:t>
            </w:r>
            <w:r w:rsidRPr="00B15C12">
              <w:rPr>
                <w:rFonts w:ascii="Arial" w:hAnsi="Arial" w:cs="Arial"/>
                <w:sz w:val="20"/>
                <w:szCs w:val="20"/>
              </w:rPr>
              <w:t xml:space="preserve">sectors of the economy </w:t>
            </w:r>
            <w:r w:rsidR="002969DC" w:rsidRPr="00B15C12">
              <w:rPr>
                <w:rFonts w:ascii="Arial" w:hAnsi="Arial" w:cs="Arial"/>
                <w:sz w:val="20"/>
                <w:szCs w:val="20"/>
              </w:rPr>
              <w:t>indicated as eligible in Annex II to the InvestEU Regulation</w:t>
            </w:r>
            <w:r w:rsidR="0084605E" w:rsidRPr="00D70FAA">
              <w:rPr>
                <w:rFonts w:ascii="Arial" w:hAnsi="Arial" w:cs="Arial"/>
                <w:sz w:val="20"/>
                <w:szCs w:val="20"/>
              </w:rPr>
              <w:t xml:space="preserve"> regarding the SMEW</w:t>
            </w:r>
            <w:r w:rsidR="002969DC" w:rsidRPr="00D70FAA">
              <w:rPr>
                <w:rFonts w:ascii="Arial" w:hAnsi="Arial" w:cs="Arial"/>
                <w:sz w:val="20"/>
                <w:szCs w:val="20"/>
              </w:rPr>
              <w:t xml:space="preserve">, </w:t>
            </w:r>
            <w:r w:rsidR="00091260" w:rsidRPr="00D70FAA">
              <w:rPr>
                <w:rFonts w:ascii="Arial" w:hAnsi="Arial" w:cs="Arial"/>
                <w:sz w:val="20"/>
                <w:szCs w:val="20"/>
              </w:rPr>
              <w:t xml:space="preserve">but will foresee </w:t>
            </w:r>
            <w:r w:rsidR="00F8784B" w:rsidRPr="00B15C12">
              <w:rPr>
                <w:rFonts w:ascii="Arial" w:hAnsi="Arial" w:cs="Arial"/>
                <w:sz w:val="20"/>
                <w:szCs w:val="20"/>
              </w:rPr>
              <w:t xml:space="preserve">enhanced risk-sharing for the </w:t>
            </w:r>
            <w:r w:rsidRPr="00B15C12">
              <w:rPr>
                <w:rFonts w:ascii="Arial" w:hAnsi="Arial" w:cs="Arial"/>
                <w:sz w:val="20"/>
                <w:szCs w:val="20"/>
              </w:rPr>
              <w:t>following</w:t>
            </w:r>
            <w:r>
              <w:rPr>
                <w:rFonts w:ascii="Arial" w:hAnsi="Arial" w:cs="Arial"/>
                <w:sz w:val="20"/>
                <w:szCs w:val="20"/>
              </w:rPr>
              <w:t xml:space="preserve"> areas</w:t>
            </w:r>
            <w:r w:rsidR="00EC1DAB">
              <w:rPr>
                <w:rFonts w:ascii="Arial" w:hAnsi="Arial" w:cs="Arial"/>
                <w:sz w:val="20"/>
                <w:szCs w:val="20"/>
              </w:rPr>
              <w:t xml:space="preserve"> of higher policy value</w:t>
            </w:r>
            <w:r>
              <w:rPr>
                <w:rFonts w:ascii="Arial" w:hAnsi="Arial" w:cs="Arial"/>
                <w:sz w:val="20"/>
                <w:szCs w:val="20"/>
              </w:rPr>
              <w:t>:</w:t>
            </w:r>
          </w:p>
          <w:p w14:paraId="38BA51B9" w14:textId="77777777" w:rsidR="00A903D3" w:rsidRDefault="00F8784B" w:rsidP="00A903D3">
            <w:pPr>
              <w:pStyle w:val="ListParagraph"/>
              <w:numPr>
                <w:ilvl w:val="0"/>
                <w:numId w:val="10"/>
              </w:numPr>
              <w:tabs>
                <w:tab w:val="left" w:pos="1605"/>
              </w:tabs>
              <w:autoSpaceDE w:val="0"/>
              <w:autoSpaceDN w:val="0"/>
              <w:adjustRightInd w:val="0"/>
              <w:jc w:val="both"/>
              <w:rPr>
                <w:rFonts w:ascii="Arial" w:hAnsi="Arial" w:cs="Arial"/>
                <w:sz w:val="20"/>
                <w:szCs w:val="20"/>
              </w:rPr>
            </w:pPr>
            <w:r>
              <w:rPr>
                <w:rFonts w:ascii="Arial" w:hAnsi="Arial" w:cs="Arial"/>
                <w:sz w:val="20"/>
                <w:szCs w:val="20"/>
              </w:rPr>
              <w:t>High-risk i</w:t>
            </w:r>
            <w:r w:rsidR="00A903D3">
              <w:rPr>
                <w:rFonts w:ascii="Arial" w:hAnsi="Arial" w:cs="Arial"/>
                <w:sz w:val="20"/>
                <w:szCs w:val="20"/>
              </w:rPr>
              <w:t>nnovation</w:t>
            </w:r>
            <w:r w:rsidR="009D3C33">
              <w:rPr>
                <w:rFonts w:ascii="Arial" w:hAnsi="Arial" w:cs="Arial"/>
                <w:sz w:val="20"/>
                <w:szCs w:val="20"/>
              </w:rPr>
              <w:t xml:space="preserve"> transactions</w:t>
            </w:r>
          </w:p>
          <w:p w14:paraId="5EDDF6C1" w14:textId="77777777" w:rsidR="00A903D3" w:rsidRDefault="00434C36" w:rsidP="00A903D3">
            <w:pPr>
              <w:pStyle w:val="ListParagraph"/>
              <w:numPr>
                <w:ilvl w:val="0"/>
                <w:numId w:val="10"/>
              </w:numPr>
              <w:tabs>
                <w:tab w:val="left" w:pos="1605"/>
              </w:tabs>
              <w:autoSpaceDE w:val="0"/>
              <w:autoSpaceDN w:val="0"/>
              <w:adjustRightInd w:val="0"/>
              <w:jc w:val="both"/>
              <w:rPr>
                <w:rFonts w:ascii="Arial" w:hAnsi="Arial" w:cs="Arial"/>
                <w:sz w:val="20"/>
                <w:szCs w:val="20"/>
              </w:rPr>
            </w:pPr>
            <w:r>
              <w:rPr>
                <w:rFonts w:ascii="Arial" w:hAnsi="Arial" w:cs="Arial"/>
                <w:sz w:val="20"/>
                <w:szCs w:val="20"/>
              </w:rPr>
              <w:t xml:space="preserve">Transformative </w:t>
            </w:r>
            <w:r w:rsidR="00A903D3">
              <w:rPr>
                <w:rFonts w:ascii="Arial" w:hAnsi="Arial" w:cs="Arial"/>
                <w:sz w:val="20"/>
                <w:szCs w:val="20"/>
              </w:rPr>
              <w:t>Digitalisation</w:t>
            </w:r>
            <w:r w:rsidR="009D3C33">
              <w:rPr>
                <w:rFonts w:ascii="Arial" w:hAnsi="Arial" w:cs="Arial"/>
                <w:sz w:val="20"/>
                <w:szCs w:val="20"/>
              </w:rPr>
              <w:t xml:space="preserve"> transactions</w:t>
            </w:r>
          </w:p>
          <w:p w14:paraId="04502E12" w14:textId="77777777" w:rsidR="00A903D3" w:rsidRDefault="0049252C" w:rsidP="00A903D3">
            <w:pPr>
              <w:pStyle w:val="ListParagraph"/>
              <w:numPr>
                <w:ilvl w:val="0"/>
                <w:numId w:val="10"/>
              </w:numPr>
              <w:tabs>
                <w:tab w:val="left" w:pos="1605"/>
              </w:tabs>
              <w:autoSpaceDE w:val="0"/>
              <w:autoSpaceDN w:val="0"/>
              <w:adjustRightInd w:val="0"/>
              <w:jc w:val="both"/>
              <w:rPr>
                <w:rFonts w:ascii="Arial" w:hAnsi="Arial" w:cs="Arial"/>
                <w:sz w:val="20"/>
                <w:szCs w:val="20"/>
              </w:rPr>
            </w:pPr>
            <w:r>
              <w:rPr>
                <w:rFonts w:ascii="Arial" w:hAnsi="Arial" w:cs="Arial"/>
                <w:sz w:val="20"/>
                <w:szCs w:val="20"/>
              </w:rPr>
              <w:t xml:space="preserve">Transactions with businesses from the </w:t>
            </w:r>
            <w:r w:rsidR="00A903D3">
              <w:rPr>
                <w:rFonts w:ascii="Arial" w:hAnsi="Arial" w:cs="Arial"/>
                <w:sz w:val="20"/>
                <w:szCs w:val="20"/>
              </w:rPr>
              <w:t>Cultural and Creative sector</w:t>
            </w:r>
            <w:r w:rsidR="003918E7">
              <w:rPr>
                <w:rFonts w:ascii="Arial" w:hAnsi="Arial" w:cs="Arial"/>
                <w:sz w:val="20"/>
                <w:szCs w:val="20"/>
              </w:rPr>
              <w:t>s</w:t>
            </w:r>
          </w:p>
          <w:p w14:paraId="130427DB" w14:textId="77777777" w:rsidR="000F7427" w:rsidRDefault="000F7427" w:rsidP="00B24048">
            <w:pPr>
              <w:pStyle w:val="ListParagraph"/>
              <w:numPr>
                <w:ilvl w:val="0"/>
                <w:numId w:val="10"/>
              </w:numPr>
              <w:tabs>
                <w:tab w:val="left" w:pos="1605"/>
              </w:tabs>
              <w:autoSpaceDE w:val="0"/>
              <w:autoSpaceDN w:val="0"/>
              <w:adjustRightInd w:val="0"/>
              <w:jc w:val="both"/>
              <w:rPr>
                <w:rFonts w:ascii="Arial" w:hAnsi="Arial" w:cs="Arial"/>
                <w:sz w:val="20"/>
                <w:szCs w:val="20"/>
              </w:rPr>
            </w:pPr>
            <w:r w:rsidRPr="0049252C">
              <w:rPr>
                <w:rFonts w:ascii="Arial" w:hAnsi="Arial" w:cs="Arial"/>
                <w:sz w:val="20"/>
                <w:szCs w:val="20"/>
              </w:rPr>
              <w:t>[Sustainability]</w:t>
            </w:r>
          </w:p>
          <w:p w14:paraId="2179C2B2" w14:textId="77777777" w:rsidR="00766559" w:rsidRDefault="00766559" w:rsidP="00766559">
            <w:pPr>
              <w:tabs>
                <w:tab w:val="left" w:pos="1605"/>
              </w:tabs>
              <w:autoSpaceDE w:val="0"/>
              <w:autoSpaceDN w:val="0"/>
              <w:adjustRightInd w:val="0"/>
              <w:jc w:val="both"/>
              <w:rPr>
                <w:rFonts w:ascii="Arial" w:hAnsi="Arial" w:cs="Arial"/>
                <w:sz w:val="20"/>
                <w:szCs w:val="20"/>
              </w:rPr>
            </w:pPr>
          </w:p>
          <w:p w14:paraId="572EDABD" w14:textId="18397F7B" w:rsidR="00766559" w:rsidRPr="00766559" w:rsidRDefault="00766559" w:rsidP="00766559">
            <w:pPr>
              <w:tabs>
                <w:tab w:val="left" w:pos="1605"/>
              </w:tabs>
              <w:autoSpaceDE w:val="0"/>
              <w:autoSpaceDN w:val="0"/>
              <w:adjustRightInd w:val="0"/>
              <w:jc w:val="both"/>
              <w:rPr>
                <w:rFonts w:ascii="Arial" w:hAnsi="Arial" w:cs="Arial"/>
                <w:sz w:val="20"/>
                <w:szCs w:val="20"/>
              </w:rPr>
            </w:pPr>
            <w:r>
              <w:rPr>
                <w:rFonts w:ascii="Arial" w:hAnsi="Arial" w:cs="Arial"/>
                <w:sz w:val="20"/>
                <w:szCs w:val="20"/>
              </w:rPr>
              <w:t xml:space="preserve">The Implementing Partner shall </w:t>
            </w:r>
            <w:r w:rsidR="008B7EED">
              <w:rPr>
                <w:rFonts w:ascii="Arial" w:hAnsi="Arial" w:cs="Arial"/>
                <w:sz w:val="20"/>
                <w:szCs w:val="20"/>
              </w:rPr>
              <w:t>propose</w:t>
            </w:r>
            <w:r>
              <w:rPr>
                <w:rFonts w:ascii="Arial" w:hAnsi="Arial" w:cs="Arial"/>
                <w:sz w:val="20"/>
                <w:szCs w:val="20"/>
              </w:rPr>
              <w:t>which particular area of the SME population</w:t>
            </w:r>
            <w:r w:rsidR="00E21EC1">
              <w:rPr>
                <w:rFonts w:ascii="Arial" w:hAnsi="Arial" w:cs="Arial"/>
                <w:sz w:val="20"/>
                <w:szCs w:val="20"/>
              </w:rPr>
              <w:t xml:space="preserve"> and sector</w:t>
            </w:r>
            <w:r>
              <w:rPr>
                <w:rFonts w:ascii="Arial" w:hAnsi="Arial" w:cs="Arial"/>
                <w:sz w:val="20"/>
                <w:szCs w:val="20"/>
              </w:rPr>
              <w:t xml:space="preserve"> it would want to target to ensure complementarity with its existing product range</w:t>
            </w:r>
            <w:r w:rsidR="008B7EED">
              <w:rPr>
                <w:rFonts w:ascii="Arial" w:hAnsi="Arial" w:cs="Arial"/>
                <w:sz w:val="20"/>
                <w:szCs w:val="20"/>
              </w:rPr>
              <w:t xml:space="preserve"> and </w:t>
            </w:r>
            <w:r w:rsidR="00A341A3">
              <w:rPr>
                <w:rFonts w:ascii="Arial" w:hAnsi="Arial" w:cs="Arial"/>
                <w:sz w:val="20"/>
                <w:szCs w:val="20"/>
              </w:rPr>
              <w:t xml:space="preserve"> additionality</w:t>
            </w:r>
            <w:r w:rsidR="008B7EED">
              <w:rPr>
                <w:rFonts w:ascii="Arial" w:hAnsi="Arial" w:cs="Arial"/>
                <w:sz w:val="20"/>
                <w:szCs w:val="20"/>
              </w:rPr>
              <w:t xml:space="preserve"> under InvestEU</w:t>
            </w:r>
            <w:r>
              <w:rPr>
                <w:rFonts w:ascii="Arial" w:hAnsi="Arial" w:cs="Arial"/>
                <w:sz w:val="20"/>
                <w:szCs w:val="20"/>
              </w:rPr>
              <w:t>.</w:t>
            </w:r>
          </w:p>
          <w:p w14:paraId="3B8A67B7" w14:textId="77777777" w:rsidR="00434C36" w:rsidRDefault="00434C36" w:rsidP="00434C36">
            <w:pPr>
              <w:tabs>
                <w:tab w:val="left" w:pos="1605"/>
              </w:tabs>
              <w:autoSpaceDE w:val="0"/>
              <w:autoSpaceDN w:val="0"/>
              <w:adjustRightInd w:val="0"/>
              <w:jc w:val="both"/>
              <w:rPr>
                <w:rFonts w:ascii="Arial" w:hAnsi="Arial" w:cs="Arial"/>
                <w:sz w:val="20"/>
                <w:szCs w:val="20"/>
                <w:highlight w:val="yellow"/>
              </w:rPr>
            </w:pPr>
          </w:p>
          <w:p w14:paraId="47B9B644" w14:textId="77777777" w:rsidR="00A903D3" w:rsidRPr="00360490" w:rsidRDefault="00434C36" w:rsidP="00E108D6">
            <w:pPr>
              <w:tabs>
                <w:tab w:val="left" w:pos="1605"/>
              </w:tabs>
              <w:autoSpaceDE w:val="0"/>
              <w:autoSpaceDN w:val="0"/>
              <w:adjustRightInd w:val="0"/>
              <w:jc w:val="both"/>
              <w:rPr>
                <w:rFonts w:ascii="Arial" w:hAnsi="Arial" w:cs="Arial"/>
                <w:sz w:val="20"/>
                <w:szCs w:val="20"/>
              </w:rPr>
            </w:pPr>
            <w:r w:rsidRPr="00434C36">
              <w:rPr>
                <w:rFonts w:ascii="Arial" w:hAnsi="Arial" w:cs="Arial"/>
                <w:sz w:val="20"/>
                <w:szCs w:val="20"/>
              </w:rPr>
              <w:t>See criteria in section 11</w:t>
            </w:r>
            <w:r w:rsidR="00E108D6">
              <w:rPr>
                <w:rFonts w:ascii="Arial" w:hAnsi="Arial" w:cs="Arial"/>
                <w:sz w:val="20"/>
                <w:szCs w:val="20"/>
              </w:rPr>
              <w:t>.</w:t>
            </w:r>
          </w:p>
        </w:tc>
      </w:tr>
      <w:tr w:rsidR="00A903D3" w:rsidRPr="00360490" w14:paraId="3FFB8373" w14:textId="77777777" w:rsidTr="00284A08">
        <w:tc>
          <w:tcPr>
            <w:tcW w:w="803" w:type="dxa"/>
          </w:tcPr>
          <w:p w14:paraId="12DF9D0B" w14:textId="77777777" w:rsidR="00A903D3" w:rsidRPr="00360490" w:rsidRDefault="00A903D3" w:rsidP="00A903D3">
            <w:pPr>
              <w:rPr>
                <w:rFonts w:ascii="Arial" w:hAnsi="Arial"/>
                <w:b/>
                <w:sz w:val="20"/>
                <w:szCs w:val="20"/>
              </w:rPr>
            </w:pPr>
            <w:r w:rsidRPr="00360490">
              <w:rPr>
                <w:rFonts w:ascii="Arial" w:hAnsi="Arial"/>
                <w:b/>
                <w:sz w:val="20"/>
                <w:szCs w:val="20"/>
              </w:rPr>
              <w:t>7.</w:t>
            </w:r>
          </w:p>
        </w:tc>
        <w:tc>
          <w:tcPr>
            <w:tcW w:w="2514" w:type="dxa"/>
          </w:tcPr>
          <w:p w14:paraId="27986F96" w14:textId="77777777" w:rsidR="00A903D3" w:rsidRPr="00360490" w:rsidRDefault="00A903D3" w:rsidP="00A903D3">
            <w:pPr>
              <w:rPr>
                <w:rFonts w:ascii="Arial" w:hAnsi="Arial"/>
                <w:b/>
                <w:sz w:val="20"/>
                <w:szCs w:val="20"/>
              </w:rPr>
            </w:pPr>
            <w:r w:rsidRPr="00360490">
              <w:rPr>
                <w:rFonts w:ascii="Arial" w:hAnsi="Arial"/>
                <w:b/>
                <w:sz w:val="20"/>
                <w:szCs w:val="20"/>
              </w:rPr>
              <w:t>Targeted Recipients</w:t>
            </w:r>
          </w:p>
        </w:tc>
        <w:tc>
          <w:tcPr>
            <w:tcW w:w="7247" w:type="dxa"/>
          </w:tcPr>
          <w:p w14:paraId="1DFD9700" w14:textId="70DC4F92" w:rsidR="00A903D3" w:rsidRPr="00DB4E7F" w:rsidRDefault="007A11BD" w:rsidP="00A903D3">
            <w:pPr>
              <w:tabs>
                <w:tab w:val="left" w:pos="1605"/>
              </w:tabs>
              <w:autoSpaceDE w:val="0"/>
              <w:autoSpaceDN w:val="0"/>
              <w:adjustRightInd w:val="0"/>
              <w:jc w:val="both"/>
              <w:rPr>
                <w:rFonts w:ascii="Arial" w:hAnsi="Arial" w:cs="Arial"/>
                <w:sz w:val="20"/>
                <w:szCs w:val="20"/>
              </w:rPr>
            </w:pPr>
            <w:r>
              <w:rPr>
                <w:rFonts w:ascii="Arial" w:hAnsi="Arial" w:cs="Arial"/>
                <w:sz w:val="20"/>
                <w:szCs w:val="20"/>
              </w:rPr>
              <w:t xml:space="preserve">Predominantly </w:t>
            </w:r>
            <w:r w:rsidR="00A903D3" w:rsidRPr="00DB4E7F">
              <w:rPr>
                <w:rFonts w:ascii="Arial" w:hAnsi="Arial" w:cs="Arial"/>
                <w:sz w:val="20"/>
                <w:szCs w:val="20"/>
              </w:rPr>
              <w:t>SMEs</w:t>
            </w:r>
            <w:r w:rsidR="00A903D3" w:rsidRPr="00DB4E7F">
              <w:rPr>
                <w:rStyle w:val="FootnoteReference"/>
                <w:rFonts w:ascii="Arial" w:hAnsi="Arial" w:cs="Arial"/>
                <w:sz w:val="20"/>
                <w:szCs w:val="20"/>
              </w:rPr>
              <w:footnoteReference w:id="7"/>
            </w:r>
            <w:r w:rsidR="00091260">
              <w:rPr>
                <w:rFonts w:ascii="Arial" w:hAnsi="Arial" w:cs="Arial"/>
                <w:sz w:val="20"/>
                <w:szCs w:val="20"/>
              </w:rPr>
              <w:t xml:space="preserve">, in the case of areas of enhanced risk-sharing also small midcaps </w:t>
            </w:r>
            <w:r w:rsidR="00E21EC1">
              <w:rPr>
                <w:rFonts w:ascii="Arial" w:hAnsi="Arial" w:cs="Arial"/>
                <w:sz w:val="20"/>
                <w:szCs w:val="20"/>
              </w:rPr>
              <w:t>may</w:t>
            </w:r>
            <w:r w:rsidR="00091260">
              <w:rPr>
                <w:rFonts w:ascii="Arial" w:hAnsi="Arial" w:cs="Arial"/>
                <w:sz w:val="20"/>
                <w:szCs w:val="20"/>
              </w:rPr>
              <w:t xml:space="preserve">l be eligible. </w:t>
            </w:r>
          </w:p>
          <w:p w14:paraId="249695BF" w14:textId="77777777" w:rsidR="00A903D3" w:rsidRPr="00DB4E7F" w:rsidRDefault="00A903D3" w:rsidP="00A903D3">
            <w:pPr>
              <w:tabs>
                <w:tab w:val="left" w:pos="1605"/>
              </w:tabs>
              <w:autoSpaceDE w:val="0"/>
              <w:autoSpaceDN w:val="0"/>
              <w:adjustRightInd w:val="0"/>
              <w:rPr>
                <w:rFonts w:ascii="Arial" w:hAnsi="Arial" w:cs="Arial"/>
                <w:sz w:val="20"/>
                <w:szCs w:val="20"/>
              </w:rPr>
            </w:pPr>
          </w:p>
        </w:tc>
      </w:tr>
      <w:tr w:rsidR="00A903D3" w:rsidRPr="00360490" w14:paraId="028E619F" w14:textId="77777777" w:rsidTr="00284A08">
        <w:tc>
          <w:tcPr>
            <w:tcW w:w="803" w:type="dxa"/>
          </w:tcPr>
          <w:p w14:paraId="2EEE9C0F" w14:textId="77777777" w:rsidR="00A903D3" w:rsidRPr="00360490" w:rsidRDefault="00A903D3" w:rsidP="00A903D3">
            <w:pPr>
              <w:rPr>
                <w:rFonts w:ascii="Arial" w:hAnsi="Arial"/>
                <w:b/>
                <w:sz w:val="20"/>
                <w:szCs w:val="20"/>
              </w:rPr>
            </w:pPr>
            <w:r w:rsidRPr="00360490">
              <w:rPr>
                <w:rFonts w:ascii="Arial" w:hAnsi="Arial"/>
                <w:b/>
                <w:sz w:val="20"/>
                <w:szCs w:val="20"/>
              </w:rPr>
              <w:t>8.</w:t>
            </w:r>
          </w:p>
        </w:tc>
        <w:tc>
          <w:tcPr>
            <w:tcW w:w="2514" w:type="dxa"/>
          </w:tcPr>
          <w:p w14:paraId="12E5B7A8" w14:textId="77777777" w:rsidR="00A903D3" w:rsidRPr="00360490" w:rsidRDefault="00A903D3" w:rsidP="00A903D3">
            <w:pPr>
              <w:rPr>
                <w:rFonts w:ascii="Arial" w:hAnsi="Arial"/>
                <w:b/>
                <w:sz w:val="20"/>
                <w:szCs w:val="20"/>
              </w:rPr>
            </w:pPr>
            <w:r w:rsidRPr="00360490">
              <w:rPr>
                <w:rFonts w:ascii="Arial" w:hAnsi="Arial"/>
                <w:b/>
                <w:sz w:val="20"/>
                <w:szCs w:val="20"/>
              </w:rPr>
              <w:t>Targeted Geography</w:t>
            </w:r>
          </w:p>
        </w:tc>
        <w:tc>
          <w:tcPr>
            <w:tcW w:w="7247" w:type="dxa"/>
          </w:tcPr>
          <w:p w14:paraId="11C35118" w14:textId="4EE59597" w:rsidR="00A903D3" w:rsidRPr="00360490" w:rsidRDefault="00687765" w:rsidP="00A903D3">
            <w:pPr>
              <w:autoSpaceDE w:val="0"/>
              <w:autoSpaceDN w:val="0"/>
              <w:adjustRightInd w:val="0"/>
              <w:jc w:val="both"/>
              <w:rPr>
                <w:rFonts w:ascii="Arial" w:hAnsi="Arial" w:cs="Arial"/>
                <w:sz w:val="20"/>
                <w:szCs w:val="20"/>
              </w:rPr>
            </w:pPr>
            <w:sdt>
              <w:sdtPr>
                <w:rPr>
                  <w:rFonts w:ascii="Arial" w:hAnsi="Arial" w:cs="Arial"/>
                  <w:sz w:val="20"/>
                  <w:szCs w:val="20"/>
                </w:rPr>
                <w:id w:val="-1544201527"/>
                <w14:checkbox>
                  <w14:checked w14:val="1"/>
                  <w14:checkedState w14:val="2612" w14:font="MS Gothic"/>
                  <w14:uncheckedState w14:val="2610" w14:font="MS Gothic"/>
                </w14:checkbox>
              </w:sdtPr>
              <w:sdtEndPr/>
              <w:sdtContent>
                <w:r w:rsidR="00A341A3">
                  <w:rPr>
                    <w:rFonts w:ascii="MS Gothic" w:eastAsia="MS Gothic" w:hAnsi="MS Gothic" w:cs="Arial" w:hint="eastAsia"/>
                    <w:sz w:val="20"/>
                    <w:szCs w:val="20"/>
                  </w:rPr>
                  <w:t>☒</w:t>
                </w:r>
              </w:sdtContent>
            </w:sdt>
            <w:r w:rsidR="00A903D3" w:rsidRPr="00360490">
              <w:rPr>
                <w:rFonts w:ascii="Arial" w:hAnsi="Arial" w:cs="Arial"/>
                <w:sz w:val="20"/>
                <w:szCs w:val="20"/>
              </w:rPr>
              <w:t xml:space="preserve">All EU MS </w:t>
            </w:r>
          </w:p>
          <w:p w14:paraId="0D0ACDE1" w14:textId="77777777" w:rsidR="00A903D3" w:rsidRPr="007A11BD" w:rsidRDefault="00687765" w:rsidP="00A903D3">
            <w:pPr>
              <w:autoSpaceDE w:val="0"/>
              <w:autoSpaceDN w:val="0"/>
              <w:adjustRightInd w:val="0"/>
              <w:jc w:val="both"/>
              <w:rPr>
                <w:rFonts w:ascii="Arial" w:hAnsi="Arial" w:cs="Arial"/>
                <w:sz w:val="20"/>
                <w:szCs w:val="20"/>
              </w:rPr>
            </w:pPr>
            <w:sdt>
              <w:sdtPr>
                <w:rPr>
                  <w:rFonts w:ascii="Arial" w:hAnsi="Arial" w:cs="Arial"/>
                  <w:sz w:val="20"/>
                  <w:szCs w:val="20"/>
                </w:rPr>
                <w:id w:val="1028909946"/>
                <w14:checkbox>
                  <w14:checked w14:val="0"/>
                  <w14:checkedState w14:val="2612" w14:font="MS Gothic"/>
                  <w14:uncheckedState w14:val="2610" w14:font="MS Gothic"/>
                </w14:checkbox>
              </w:sdtPr>
              <w:sdtEndPr/>
              <w:sdtContent>
                <w:r w:rsidR="007A11BD">
                  <w:rPr>
                    <w:rFonts w:ascii="MS Gothic" w:eastAsia="MS Gothic" w:hAnsi="MS Gothic" w:cs="Arial" w:hint="eastAsia"/>
                    <w:sz w:val="20"/>
                    <w:szCs w:val="20"/>
                  </w:rPr>
                  <w:t>☐</w:t>
                </w:r>
              </w:sdtContent>
            </w:sdt>
            <w:r w:rsidR="00A903D3" w:rsidRPr="007A11BD">
              <w:rPr>
                <w:rFonts w:ascii="Arial" w:hAnsi="Arial" w:cs="Arial"/>
                <w:sz w:val="20"/>
                <w:szCs w:val="20"/>
              </w:rPr>
              <w:t xml:space="preserve">Selected MS </w:t>
            </w:r>
            <w:r w:rsidR="00A903D3" w:rsidRPr="007A11BD">
              <w:rPr>
                <w:rFonts w:ascii="Arial" w:hAnsi="Arial" w:cs="Arial"/>
                <w:i/>
                <w:sz w:val="20"/>
                <w:szCs w:val="20"/>
              </w:rPr>
              <w:t>(please specify)</w:t>
            </w:r>
          </w:p>
          <w:p w14:paraId="7288E124" w14:textId="21D566C2" w:rsidR="00A903D3" w:rsidRDefault="00687765" w:rsidP="00A903D3">
            <w:pPr>
              <w:autoSpaceDE w:val="0"/>
              <w:autoSpaceDN w:val="0"/>
              <w:adjustRightInd w:val="0"/>
              <w:jc w:val="both"/>
              <w:rPr>
                <w:rFonts w:ascii="Arial" w:hAnsi="Arial" w:cs="Arial"/>
                <w:sz w:val="20"/>
                <w:szCs w:val="20"/>
              </w:rPr>
            </w:pPr>
            <w:sdt>
              <w:sdtPr>
                <w:rPr>
                  <w:rFonts w:ascii="Arial" w:hAnsi="Arial" w:cs="Arial"/>
                  <w:sz w:val="20"/>
                  <w:szCs w:val="20"/>
                </w:rPr>
                <w:id w:val="1456145544"/>
                <w14:checkbox>
                  <w14:checked w14:val="0"/>
                  <w14:checkedState w14:val="2612" w14:font="MS Gothic"/>
                  <w14:uncheckedState w14:val="2610" w14:font="MS Gothic"/>
                </w14:checkbox>
              </w:sdtPr>
              <w:sdtEndPr/>
              <w:sdtContent>
                <w:r w:rsidR="00766559">
                  <w:rPr>
                    <w:rFonts w:ascii="MS Gothic" w:eastAsia="MS Gothic" w:hAnsi="MS Gothic" w:cs="Arial" w:hint="eastAsia"/>
                    <w:sz w:val="20"/>
                    <w:szCs w:val="20"/>
                  </w:rPr>
                  <w:t>☐</w:t>
                </w:r>
              </w:sdtContent>
            </w:sdt>
            <w:r w:rsidR="00A903D3" w:rsidRPr="007A11BD">
              <w:rPr>
                <w:rFonts w:ascii="Arial" w:hAnsi="Arial" w:cs="Arial"/>
                <w:sz w:val="20"/>
                <w:szCs w:val="20"/>
              </w:rPr>
              <w:t>Other countries</w:t>
            </w:r>
            <w:r w:rsidR="007A11BD" w:rsidRPr="007A11BD">
              <w:rPr>
                <w:rFonts w:ascii="Arial" w:hAnsi="Arial" w:cs="Arial"/>
                <w:sz w:val="20"/>
                <w:szCs w:val="20"/>
              </w:rPr>
              <w:t xml:space="preserve"> in accordance with Article 5 of InvestEU Regulation (Third countries associated to the InvestEU Fund).</w:t>
            </w:r>
            <w:r w:rsidR="007E1C92">
              <w:rPr>
                <w:rFonts w:ascii="Arial" w:hAnsi="Arial" w:cs="Arial"/>
                <w:sz w:val="20"/>
                <w:szCs w:val="20"/>
              </w:rPr>
              <w:t>[</w:t>
            </w:r>
            <w:r w:rsidR="007E1C92" w:rsidRPr="007E1C92">
              <w:rPr>
                <w:rFonts w:ascii="Arial" w:hAnsi="Arial" w:cs="Arial"/>
                <w:i/>
                <w:sz w:val="20"/>
                <w:szCs w:val="20"/>
              </w:rPr>
              <w:t>to be discussed</w:t>
            </w:r>
            <w:r w:rsidR="007E1C92">
              <w:rPr>
                <w:rFonts w:ascii="Arial" w:hAnsi="Arial" w:cs="Arial"/>
                <w:sz w:val="20"/>
                <w:szCs w:val="20"/>
              </w:rPr>
              <w:t>]</w:t>
            </w:r>
          </w:p>
          <w:p w14:paraId="12D3D920" w14:textId="258F3F9A" w:rsidR="008B7EED" w:rsidRPr="007A11BD" w:rsidRDefault="008B7EED" w:rsidP="00A903D3">
            <w:pPr>
              <w:autoSpaceDE w:val="0"/>
              <w:autoSpaceDN w:val="0"/>
              <w:adjustRightInd w:val="0"/>
              <w:jc w:val="both"/>
              <w:rPr>
                <w:rFonts w:ascii="Arial" w:hAnsi="Arial" w:cs="Arial"/>
                <w:i/>
                <w:sz w:val="20"/>
                <w:szCs w:val="20"/>
              </w:rPr>
            </w:pPr>
            <w:r>
              <w:rPr>
                <w:rFonts w:ascii="Arial" w:hAnsi="Arial" w:cs="Arial"/>
                <w:sz w:val="20"/>
                <w:szCs w:val="20"/>
              </w:rPr>
              <w:t>The Implementing Partner shall propose which particular g</w:t>
            </w:r>
            <w:r w:rsidR="00B15C12">
              <w:rPr>
                <w:rFonts w:ascii="Arial" w:hAnsi="Arial" w:cs="Arial"/>
                <w:sz w:val="20"/>
                <w:szCs w:val="20"/>
              </w:rPr>
              <w:t>eo</w:t>
            </w:r>
            <w:r>
              <w:rPr>
                <w:rFonts w:ascii="Arial" w:hAnsi="Arial" w:cs="Arial"/>
                <w:sz w:val="20"/>
                <w:szCs w:val="20"/>
              </w:rPr>
              <w:t xml:space="preserve">graphy it would want to target to ensure complementarity with its existing product range and </w:t>
            </w:r>
            <w:r w:rsidR="00A341A3">
              <w:rPr>
                <w:rFonts w:ascii="Arial" w:hAnsi="Arial" w:cs="Arial"/>
                <w:sz w:val="20"/>
                <w:szCs w:val="20"/>
              </w:rPr>
              <w:t xml:space="preserve"> and additionality </w:t>
            </w:r>
            <w:r>
              <w:rPr>
                <w:rFonts w:ascii="Arial" w:hAnsi="Arial" w:cs="Arial"/>
                <w:sz w:val="20"/>
                <w:szCs w:val="20"/>
              </w:rPr>
              <w:t>under InvestEU</w:t>
            </w:r>
            <w:r w:rsidR="00A341A3">
              <w:rPr>
                <w:rFonts w:ascii="Arial" w:hAnsi="Arial" w:cs="Arial"/>
                <w:sz w:val="20"/>
                <w:szCs w:val="20"/>
              </w:rPr>
              <w:t xml:space="preserve">. </w:t>
            </w:r>
          </w:p>
          <w:p w14:paraId="083208F5" w14:textId="77777777" w:rsidR="00A903D3" w:rsidRPr="00360490" w:rsidRDefault="00A903D3" w:rsidP="00A903D3">
            <w:pPr>
              <w:autoSpaceDE w:val="0"/>
              <w:autoSpaceDN w:val="0"/>
              <w:adjustRightInd w:val="0"/>
              <w:jc w:val="both"/>
              <w:rPr>
                <w:rFonts w:ascii="Arial" w:hAnsi="Arial" w:cs="Arial"/>
                <w:i/>
                <w:sz w:val="20"/>
                <w:szCs w:val="20"/>
              </w:rPr>
            </w:pPr>
          </w:p>
        </w:tc>
      </w:tr>
      <w:tr w:rsidR="00A903D3" w:rsidRPr="00360490" w14:paraId="18D19F3F" w14:textId="77777777" w:rsidTr="00687765">
        <w:trPr>
          <w:trHeight w:val="1183"/>
        </w:trPr>
        <w:tc>
          <w:tcPr>
            <w:tcW w:w="803" w:type="dxa"/>
          </w:tcPr>
          <w:p w14:paraId="2B43B03C" w14:textId="77777777" w:rsidR="00A903D3" w:rsidRPr="00360490" w:rsidRDefault="00A903D3" w:rsidP="00A903D3">
            <w:pPr>
              <w:rPr>
                <w:rFonts w:ascii="Arial" w:hAnsi="Arial"/>
                <w:b/>
                <w:sz w:val="20"/>
                <w:szCs w:val="20"/>
              </w:rPr>
            </w:pPr>
            <w:r w:rsidRPr="00360490">
              <w:rPr>
                <w:rFonts w:ascii="Arial" w:hAnsi="Arial"/>
                <w:b/>
                <w:sz w:val="20"/>
                <w:szCs w:val="20"/>
              </w:rPr>
              <w:t>9.</w:t>
            </w:r>
          </w:p>
        </w:tc>
        <w:tc>
          <w:tcPr>
            <w:tcW w:w="2514" w:type="dxa"/>
          </w:tcPr>
          <w:p w14:paraId="5ECCAC5D" w14:textId="77777777" w:rsidR="00A903D3" w:rsidRPr="00360490" w:rsidRDefault="00284A08" w:rsidP="00A903D3">
            <w:pPr>
              <w:rPr>
                <w:rFonts w:ascii="Arial" w:hAnsi="Arial"/>
                <w:b/>
                <w:sz w:val="20"/>
                <w:szCs w:val="20"/>
              </w:rPr>
            </w:pPr>
            <w:r>
              <w:rPr>
                <w:rFonts w:ascii="Arial" w:hAnsi="Arial"/>
                <w:b/>
                <w:sz w:val="20"/>
                <w:szCs w:val="20"/>
              </w:rPr>
              <w:t>Implementation Period</w:t>
            </w:r>
          </w:p>
        </w:tc>
        <w:tc>
          <w:tcPr>
            <w:tcW w:w="7247" w:type="dxa"/>
          </w:tcPr>
          <w:p w14:paraId="0782F5B2" w14:textId="0AD4D28B" w:rsidR="00E21EC1" w:rsidRDefault="00E21EC1" w:rsidP="00A903D3">
            <w:pPr>
              <w:autoSpaceDE w:val="0"/>
              <w:autoSpaceDN w:val="0"/>
              <w:adjustRightInd w:val="0"/>
              <w:jc w:val="both"/>
              <w:rPr>
                <w:rFonts w:ascii="Arial" w:hAnsi="Arial" w:cs="Arial"/>
                <w:sz w:val="20"/>
                <w:szCs w:val="20"/>
              </w:rPr>
            </w:pPr>
            <w:r>
              <w:rPr>
                <w:rFonts w:ascii="Arial" w:hAnsi="Arial" w:cs="Arial"/>
                <w:sz w:val="20"/>
                <w:szCs w:val="20"/>
              </w:rPr>
              <w:t>In line with Article 10 (2) of the InvestEU Regulation, implementation period of financ</w:t>
            </w:r>
            <w:r w:rsidR="00F758FA">
              <w:rPr>
                <w:rFonts w:ascii="Arial" w:hAnsi="Arial" w:cs="Arial"/>
                <w:sz w:val="20"/>
                <w:szCs w:val="20"/>
              </w:rPr>
              <w:t>i</w:t>
            </w:r>
            <w:r>
              <w:rPr>
                <w:rFonts w:ascii="Arial" w:hAnsi="Arial" w:cs="Arial"/>
                <w:sz w:val="20"/>
                <w:szCs w:val="20"/>
              </w:rPr>
              <w:t xml:space="preserve">ng </w:t>
            </w:r>
            <w:r w:rsidR="00F758FA">
              <w:rPr>
                <w:rFonts w:ascii="Arial" w:hAnsi="Arial" w:cs="Arial"/>
                <w:sz w:val="20"/>
                <w:szCs w:val="20"/>
              </w:rPr>
              <w:t>and</w:t>
            </w:r>
            <w:r>
              <w:rPr>
                <w:rFonts w:ascii="Arial" w:hAnsi="Arial" w:cs="Arial"/>
                <w:sz w:val="20"/>
                <w:szCs w:val="20"/>
              </w:rPr>
              <w:t xml:space="preserve"> investment operations under the financial product: </w:t>
            </w:r>
          </w:p>
          <w:p w14:paraId="15F0030D" w14:textId="15D90F03" w:rsidR="00E21EC1" w:rsidRDefault="00E21EC1" w:rsidP="00A903D3">
            <w:pPr>
              <w:autoSpaceDE w:val="0"/>
              <w:autoSpaceDN w:val="0"/>
              <w:adjustRightInd w:val="0"/>
              <w:jc w:val="both"/>
              <w:rPr>
                <w:rFonts w:ascii="Arial" w:hAnsi="Arial" w:cs="Arial"/>
                <w:sz w:val="20"/>
                <w:szCs w:val="20"/>
              </w:rPr>
            </w:pPr>
            <w:r>
              <w:rPr>
                <w:rFonts w:ascii="Arial" w:hAnsi="Arial" w:cs="Arial"/>
                <w:sz w:val="20"/>
                <w:szCs w:val="20"/>
              </w:rPr>
              <w:t>Approval until 31 December 2027</w:t>
            </w:r>
          </w:p>
          <w:p w14:paraId="7F87D3B4" w14:textId="67EE158B" w:rsidR="00A903D3" w:rsidRPr="00687765" w:rsidRDefault="00E21EC1" w:rsidP="00A903D3">
            <w:pPr>
              <w:autoSpaceDE w:val="0"/>
              <w:autoSpaceDN w:val="0"/>
              <w:adjustRightInd w:val="0"/>
              <w:jc w:val="both"/>
              <w:rPr>
                <w:rFonts w:ascii="Arial" w:hAnsi="Arial" w:cs="Arial"/>
                <w:sz w:val="20"/>
                <w:szCs w:val="20"/>
              </w:rPr>
            </w:pPr>
            <w:r>
              <w:rPr>
                <w:rFonts w:ascii="Arial" w:hAnsi="Arial" w:cs="Arial"/>
                <w:sz w:val="20"/>
                <w:szCs w:val="20"/>
              </w:rPr>
              <w:t>Signature until 31 December 2028</w:t>
            </w:r>
            <w:r w:rsidR="00A341A3">
              <w:rPr>
                <w:rFonts w:ascii="Arial" w:hAnsi="Arial" w:cs="Arial"/>
                <w:sz w:val="20"/>
                <w:szCs w:val="20"/>
              </w:rPr>
              <w:t xml:space="preserve">. </w:t>
            </w:r>
          </w:p>
        </w:tc>
      </w:tr>
      <w:tr w:rsidR="00A903D3" w:rsidRPr="00360490" w14:paraId="6BABD969" w14:textId="77777777" w:rsidTr="00687765">
        <w:trPr>
          <w:trHeight w:val="844"/>
        </w:trPr>
        <w:tc>
          <w:tcPr>
            <w:tcW w:w="803" w:type="dxa"/>
          </w:tcPr>
          <w:p w14:paraId="3CD6FB4B" w14:textId="77777777" w:rsidR="00A903D3" w:rsidRPr="00360490" w:rsidRDefault="00A903D3" w:rsidP="00A903D3">
            <w:pPr>
              <w:rPr>
                <w:rFonts w:ascii="Arial" w:hAnsi="Arial"/>
                <w:b/>
                <w:sz w:val="20"/>
                <w:szCs w:val="20"/>
              </w:rPr>
            </w:pPr>
            <w:r w:rsidRPr="00360490">
              <w:rPr>
                <w:rFonts w:ascii="Arial" w:hAnsi="Arial"/>
                <w:b/>
                <w:sz w:val="20"/>
                <w:szCs w:val="20"/>
              </w:rPr>
              <w:t>9.</w:t>
            </w:r>
          </w:p>
        </w:tc>
        <w:tc>
          <w:tcPr>
            <w:tcW w:w="2514" w:type="dxa"/>
          </w:tcPr>
          <w:p w14:paraId="1E734A0F" w14:textId="77777777" w:rsidR="00A903D3" w:rsidRPr="00360490" w:rsidRDefault="00A903D3" w:rsidP="00A903D3">
            <w:pPr>
              <w:rPr>
                <w:rFonts w:ascii="Arial" w:hAnsi="Arial"/>
                <w:b/>
                <w:sz w:val="20"/>
                <w:szCs w:val="20"/>
              </w:rPr>
            </w:pPr>
            <w:r w:rsidRPr="00360490">
              <w:rPr>
                <w:rFonts w:ascii="Arial" w:hAnsi="Arial"/>
                <w:b/>
                <w:sz w:val="20"/>
                <w:szCs w:val="20"/>
              </w:rPr>
              <w:t>Type of financing</w:t>
            </w:r>
          </w:p>
        </w:tc>
        <w:tc>
          <w:tcPr>
            <w:tcW w:w="7247" w:type="dxa"/>
          </w:tcPr>
          <w:p w14:paraId="47ECE4CF" w14:textId="7D837571" w:rsidR="00A903D3" w:rsidRPr="00360490" w:rsidRDefault="00687765" w:rsidP="00766559">
            <w:pPr>
              <w:autoSpaceDE w:val="0"/>
              <w:autoSpaceDN w:val="0"/>
              <w:adjustRightInd w:val="0"/>
              <w:ind w:left="223" w:hanging="223"/>
              <w:jc w:val="both"/>
              <w:rPr>
                <w:rFonts w:ascii="Arial" w:hAnsi="Arial" w:cs="Arial"/>
                <w:sz w:val="20"/>
                <w:szCs w:val="20"/>
              </w:rPr>
            </w:pPr>
            <w:sdt>
              <w:sdtPr>
                <w:rPr>
                  <w:rFonts w:ascii="Arial" w:hAnsi="Arial" w:cs="Arial"/>
                  <w:sz w:val="20"/>
                  <w:szCs w:val="20"/>
                </w:rPr>
                <w:id w:val="-1214803119"/>
                <w14:checkbox>
                  <w14:checked w14:val="1"/>
                  <w14:checkedState w14:val="2612" w14:font="MS Gothic"/>
                  <w14:uncheckedState w14:val="2610" w14:font="MS Gothic"/>
                </w14:checkbox>
              </w:sdtPr>
              <w:sdtEndPr/>
              <w:sdtContent>
                <w:r w:rsidR="00A341A3">
                  <w:rPr>
                    <w:rFonts w:ascii="MS Gothic" w:eastAsia="MS Gothic" w:hAnsi="MS Gothic" w:cs="Arial" w:hint="eastAsia"/>
                    <w:sz w:val="20"/>
                    <w:szCs w:val="20"/>
                  </w:rPr>
                  <w:t>☒</w:t>
                </w:r>
              </w:sdtContent>
            </w:sdt>
            <w:r w:rsidR="00A903D3" w:rsidRPr="00360490">
              <w:rPr>
                <w:rFonts w:ascii="Arial" w:hAnsi="Arial" w:cs="Arial"/>
                <w:sz w:val="20"/>
                <w:szCs w:val="20"/>
              </w:rPr>
              <w:t xml:space="preserve">Direct financing </w:t>
            </w:r>
            <w:r w:rsidR="00A903D3" w:rsidRPr="00360490">
              <w:rPr>
                <w:rFonts w:ascii="Arial" w:hAnsi="Arial" w:cs="Arial"/>
                <w:i/>
                <w:sz w:val="20"/>
                <w:szCs w:val="20"/>
              </w:rPr>
              <w:t xml:space="preserve">of Targeted Recipients </w:t>
            </w:r>
            <w:r w:rsidR="00A903D3" w:rsidRPr="00360490">
              <w:rPr>
                <w:rFonts w:ascii="Arial" w:hAnsi="Arial" w:cs="Arial"/>
                <w:sz w:val="20"/>
                <w:szCs w:val="20"/>
              </w:rPr>
              <w:t xml:space="preserve">by Implementing Partners </w:t>
            </w:r>
          </w:p>
          <w:p w14:paraId="1AAFF738" w14:textId="101AAC67" w:rsidR="00A903D3" w:rsidRPr="00687765" w:rsidRDefault="00687765" w:rsidP="00A903D3">
            <w:pPr>
              <w:autoSpaceDE w:val="0"/>
              <w:autoSpaceDN w:val="0"/>
              <w:adjustRightInd w:val="0"/>
              <w:jc w:val="both"/>
              <w:rPr>
                <w:rFonts w:ascii="Arial" w:hAnsi="Arial" w:cs="Arial"/>
                <w:sz w:val="20"/>
                <w:szCs w:val="20"/>
              </w:rPr>
            </w:pPr>
            <w:sdt>
              <w:sdtPr>
                <w:rPr>
                  <w:rFonts w:ascii="Arial" w:hAnsi="Arial" w:cs="Arial"/>
                  <w:sz w:val="20"/>
                  <w:szCs w:val="20"/>
                </w:rPr>
                <w:id w:val="-268234105"/>
                <w14:checkbox>
                  <w14:checked w14:val="1"/>
                  <w14:checkedState w14:val="2612" w14:font="MS Gothic"/>
                  <w14:uncheckedState w14:val="2610" w14:font="MS Gothic"/>
                </w14:checkbox>
              </w:sdtPr>
              <w:sdtEndPr/>
              <w:sdtContent>
                <w:r w:rsidR="00A903D3">
                  <w:rPr>
                    <w:rFonts w:ascii="MS Gothic" w:eastAsia="MS Gothic" w:hAnsi="MS Gothic" w:cs="Arial" w:hint="eastAsia"/>
                    <w:sz w:val="20"/>
                    <w:szCs w:val="20"/>
                  </w:rPr>
                  <w:t>☒</w:t>
                </w:r>
              </w:sdtContent>
            </w:sdt>
            <w:r w:rsidR="00A903D3" w:rsidRPr="00360490">
              <w:rPr>
                <w:rFonts w:ascii="Arial" w:hAnsi="Arial" w:cs="Arial"/>
                <w:sz w:val="20"/>
                <w:szCs w:val="20"/>
              </w:rPr>
              <w:t xml:space="preserve">Intermediated financing through </w:t>
            </w:r>
            <w:r w:rsidR="0061430F">
              <w:rPr>
                <w:rFonts w:ascii="Arial" w:hAnsi="Arial" w:cs="Arial"/>
                <w:sz w:val="20"/>
                <w:szCs w:val="20"/>
              </w:rPr>
              <w:t>f</w:t>
            </w:r>
            <w:r w:rsidR="00A903D3" w:rsidRPr="00360490">
              <w:rPr>
                <w:rFonts w:ascii="Arial" w:hAnsi="Arial" w:cs="Arial"/>
                <w:sz w:val="20"/>
                <w:szCs w:val="20"/>
              </w:rPr>
              <w:t>inancia</w:t>
            </w:r>
            <w:r w:rsidR="007E1C92">
              <w:rPr>
                <w:rFonts w:ascii="Arial" w:hAnsi="Arial" w:cs="Arial"/>
                <w:sz w:val="20"/>
                <w:szCs w:val="20"/>
              </w:rPr>
              <w:t xml:space="preserve">l </w:t>
            </w:r>
            <w:r w:rsidR="0061430F">
              <w:rPr>
                <w:rFonts w:ascii="Arial" w:hAnsi="Arial" w:cs="Arial"/>
                <w:sz w:val="20"/>
                <w:szCs w:val="20"/>
              </w:rPr>
              <w:t>i</w:t>
            </w:r>
            <w:r w:rsidR="00A903D3" w:rsidRPr="00360490">
              <w:rPr>
                <w:rFonts w:ascii="Arial" w:hAnsi="Arial" w:cs="Arial"/>
                <w:sz w:val="20"/>
                <w:szCs w:val="20"/>
              </w:rPr>
              <w:t>ntermediaries</w:t>
            </w:r>
          </w:p>
        </w:tc>
      </w:tr>
      <w:tr w:rsidR="00A903D3" w:rsidRPr="00360490" w14:paraId="1E473DAE" w14:textId="77777777" w:rsidTr="00284A08">
        <w:tc>
          <w:tcPr>
            <w:tcW w:w="803" w:type="dxa"/>
          </w:tcPr>
          <w:p w14:paraId="3AC08895" w14:textId="77777777" w:rsidR="00A903D3" w:rsidRPr="00360490" w:rsidRDefault="00A903D3" w:rsidP="00A903D3">
            <w:pPr>
              <w:rPr>
                <w:rFonts w:ascii="Arial" w:hAnsi="Arial"/>
                <w:b/>
                <w:sz w:val="20"/>
                <w:szCs w:val="20"/>
              </w:rPr>
            </w:pPr>
            <w:r w:rsidRPr="00360490">
              <w:rPr>
                <w:rFonts w:ascii="Arial" w:hAnsi="Arial"/>
                <w:b/>
                <w:sz w:val="20"/>
                <w:szCs w:val="20"/>
              </w:rPr>
              <w:t>10.a</w:t>
            </w:r>
          </w:p>
        </w:tc>
        <w:tc>
          <w:tcPr>
            <w:tcW w:w="2514" w:type="dxa"/>
          </w:tcPr>
          <w:p w14:paraId="0744844A" w14:textId="77777777" w:rsidR="00A903D3" w:rsidRPr="00360490" w:rsidRDefault="00A903D3" w:rsidP="00A903D3">
            <w:pPr>
              <w:rPr>
                <w:rFonts w:ascii="Arial" w:hAnsi="Arial"/>
                <w:b/>
                <w:sz w:val="20"/>
                <w:szCs w:val="20"/>
              </w:rPr>
            </w:pPr>
            <w:r w:rsidRPr="00360490">
              <w:rPr>
                <w:rFonts w:ascii="Arial" w:hAnsi="Arial"/>
                <w:b/>
                <w:sz w:val="20"/>
                <w:szCs w:val="20"/>
              </w:rPr>
              <w:t xml:space="preserve">Eligible Financial Intermediaries </w:t>
            </w:r>
            <w:r w:rsidRPr="00360490">
              <w:rPr>
                <w:rFonts w:ascii="Arial" w:hAnsi="Arial" w:cs="Arial"/>
                <w:i/>
                <w:sz w:val="20"/>
                <w:szCs w:val="20"/>
              </w:rPr>
              <w:t>(if applicable)</w:t>
            </w:r>
          </w:p>
        </w:tc>
        <w:tc>
          <w:tcPr>
            <w:tcW w:w="7247" w:type="dxa"/>
          </w:tcPr>
          <w:p w14:paraId="6A93BB49" w14:textId="3FCF7D0B" w:rsidR="00A903D3" w:rsidRPr="00251F1C" w:rsidRDefault="00A903D3" w:rsidP="00A903D3">
            <w:pPr>
              <w:autoSpaceDE w:val="0"/>
              <w:autoSpaceDN w:val="0"/>
              <w:adjustRightInd w:val="0"/>
              <w:jc w:val="both"/>
              <w:rPr>
                <w:rFonts w:ascii="Arial" w:hAnsi="Arial" w:cs="Arial"/>
                <w:sz w:val="20"/>
                <w:szCs w:val="20"/>
              </w:rPr>
            </w:pPr>
            <w:r w:rsidRPr="00251F1C">
              <w:rPr>
                <w:rFonts w:ascii="Arial" w:hAnsi="Arial" w:cs="Arial"/>
                <w:sz w:val="20"/>
                <w:szCs w:val="20"/>
              </w:rPr>
              <w:t>Any type of financial intermediary</w:t>
            </w:r>
            <w:r w:rsidR="00766559">
              <w:rPr>
                <w:rFonts w:ascii="Arial" w:hAnsi="Arial" w:cs="Arial"/>
                <w:sz w:val="20"/>
                <w:szCs w:val="20"/>
              </w:rPr>
              <w:t xml:space="preserve">, </w:t>
            </w:r>
            <w:r w:rsidR="003C095C">
              <w:rPr>
                <w:rFonts w:ascii="Arial" w:hAnsi="Arial" w:cs="Arial"/>
                <w:sz w:val="20"/>
                <w:szCs w:val="20"/>
              </w:rPr>
              <w:t>including</w:t>
            </w:r>
            <w:r w:rsidRPr="00251F1C">
              <w:rPr>
                <w:rFonts w:ascii="Arial" w:hAnsi="Arial" w:cs="Arial"/>
                <w:sz w:val="20"/>
                <w:szCs w:val="20"/>
              </w:rPr>
              <w:t xml:space="preserve"> other publicly owned intermediaries, commercial banks, leasing companies, </w:t>
            </w:r>
            <w:r w:rsidR="00743FAF">
              <w:rPr>
                <w:rFonts w:ascii="Arial" w:hAnsi="Arial" w:cs="Arial"/>
                <w:sz w:val="20"/>
                <w:szCs w:val="20"/>
              </w:rPr>
              <w:t>guarantee socities, alternative lenders</w:t>
            </w:r>
            <w:r w:rsidR="000434B4">
              <w:rPr>
                <w:rFonts w:ascii="Arial" w:hAnsi="Arial" w:cs="Arial"/>
                <w:sz w:val="20"/>
                <w:szCs w:val="20"/>
              </w:rPr>
              <w:t xml:space="preserve"> such as crowdfunding platforms/Fintechs</w:t>
            </w:r>
            <w:r w:rsidR="00743FAF">
              <w:rPr>
                <w:rFonts w:ascii="Arial" w:hAnsi="Arial" w:cs="Arial"/>
                <w:sz w:val="20"/>
                <w:szCs w:val="20"/>
              </w:rPr>
              <w:t xml:space="preserve">, </w:t>
            </w:r>
            <w:r w:rsidRPr="00251F1C">
              <w:rPr>
                <w:rFonts w:ascii="Arial" w:hAnsi="Arial" w:cs="Arial"/>
                <w:sz w:val="20"/>
                <w:szCs w:val="20"/>
              </w:rPr>
              <w:t>etc</w:t>
            </w:r>
            <w:r w:rsidR="0061430F">
              <w:rPr>
                <w:rFonts w:ascii="Arial" w:hAnsi="Arial" w:cs="Arial"/>
                <w:sz w:val="20"/>
                <w:szCs w:val="20"/>
              </w:rPr>
              <w:t>.</w:t>
            </w:r>
            <w:r w:rsidRPr="00251F1C">
              <w:rPr>
                <w:rFonts w:ascii="Arial" w:hAnsi="Arial" w:cs="Arial"/>
                <w:sz w:val="20"/>
                <w:szCs w:val="20"/>
              </w:rPr>
              <w:t>) targeting to generate new portfolios of higher risk SME financing transactions</w:t>
            </w:r>
            <w:r w:rsidR="00743FAF">
              <w:rPr>
                <w:rFonts w:ascii="Arial" w:hAnsi="Arial" w:cs="Arial"/>
                <w:sz w:val="20"/>
                <w:szCs w:val="20"/>
              </w:rPr>
              <w:t xml:space="preserve">. </w:t>
            </w:r>
            <w:r w:rsidRPr="00251F1C">
              <w:rPr>
                <w:rFonts w:ascii="Arial" w:hAnsi="Arial" w:cs="Arial"/>
                <w:sz w:val="20"/>
                <w:szCs w:val="20"/>
              </w:rPr>
              <w:t xml:space="preserve"> </w:t>
            </w:r>
          </w:p>
          <w:p w14:paraId="4084C665" w14:textId="77777777" w:rsidR="00A903D3" w:rsidRDefault="00A903D3" w:rsidP="00A903D3">
            <w:pPr>
              <w:autoSpaceDE w:val="0"/>
              <w:autoSpaceDN w:val="0"/>
              <w:adjustRightInd w:val="0"/>
              <w:jc w:val="both"/>
            </w:pPr>
          </w:p>
          <w:p w14:paraId="40BBF997" w14:textId="77777777" w:rsidR="00A903D3" w:rsidRDefault="00A903D3" w:rsidP="00A903D3">
            <w:pPr>
              <w:autoSpaceDE w:val="0"/>
              <w:autoSpaceDN w:val="0"/>
              <w:adjustRightInd w:val="0"/>
              <w:jc w:val="both"/>
              <w:rPr>
                <w:rFonts w:ascii="Arial" w:hAnsi="Arial"/>
                <w:sz w:val="20"/>
                <w:szCs w:val="20"/>
              </w:rPr>
            </w:pPr>
            <w:r w:rsidRPr="00AE1E67">
              <w:rPr>
                <w:rFonts w:ascii="Arial" w:hAnsi="Arial" w:cs="Arial"/>
                <w:sz w:val="20"/>
                <w:szCs w:val="20"/>
              </w:rPr>
              <w:t>Exclusion criteria according to the F</w:t>
            </w:r>
            <w:r>
              <w:rPr>
                <w:rFonts w:ascii="Arial" w:hAnsi="Arial" w:cs="Arial"/>
                <w:sz w:val="20"/>
                <w:szCs w:val="20"/>
              </w:rPr>
              <w:t xml:space="preserve">inancial Regulation </w:t>
            </w:r>
            <w:r w:rsidR="008E1EA4">
              <w:rPr>
                <w:rFonts w:ascii="Arial" w:hAnsi="Arial" w:cs="Arial"/>
                <w:sz w:val="20"/>
                <w:szCs w:val="20"/>
              </w:rPr>
              <w:t xml:space="preserve">shall </w:t>
            </w:r>
            <w:r>
              <w:rPr>
                <w:rFonts w:ascii="Arial" w:hAnsi="Arial" w:cs="Arial"/>
                <w:sz w:val="20"/>
                <w:szCs w:val="20"/>
              </w:rPr>
              <w:t>apply.</w:t>
            </w:r>
          </w:p>
          <w:p w14:paraId="0662FB16" w14:textId="77777777" w:rsidR="00A903D3" w:rsidRPr="00360490" w:rsidRDefault="00A903D3" w:rsidP="00743FAF">
            <w:pPr>
              <w:autoSpaceDE w:val="0"/>
              <w:autoSpaceDN w:val="0"/>
              <w:adjustRightInd w:val="0"/>
              <w:jc w:val="both"/>
              <w:rPr>
                <w:rFonts w:ascii="Arial" w:hAnsi="Arial" w:cs="Arial"/>
                <w:i/>
                <w:sz w:val="20"/>
                <w:szCs w:val="20"/>
              </w:rPr>
            </w:pPr>
          </w:p>
        </w:tc>
      </w:tr>
      <w:tr w:rsidR="00A903D3" w:rsidRPr="00360490" w14:paraId="096676DB" w14:textId="77777777" w:rsidTr="00284A08">
        <w:tc>
          <w:tcPr>
            <w:tcW w:w="803" w:type="dxa"/>
          </w:tcPr>
          <w:p w14:paraId="2E160904" w14:textId="77777777" w:rsidR="00A903D3" w:rsidRPr="00360490" w:rsidRDefault="00A903D3" w:rsidP="00A903D3">
            <w:pPr>
              <w:rPr>
                <w:rFonts w:ascii="Arial" w:hAnsi="Arial"/>
                <w:b/>
                <w:sz w:val="20"/>
                <w:szCs w:val="20"/>
              </w:rPr>
            </w:pPr>
            <w:r w:rsidRPr="00360490">
              <w:rPr>
                <w:rFonts w:ascii="Arial" w:hAnsi="Arial"/>
                <w:b/>
                <w:sz w:val="20"/>
                <w:szCs w:val="20"/>
              </w:rPr>
              <w:t>10.b</w:t>
            </w:r>
          </w:p>
        </w:tc>
        <w:tc>
          <w:tcPr>
            <w:tcW w:w="2514" w:type="dxa"/>
          </w:tcPr>
          <w:p w14:paraId="1E6498E6" w14:textId="77777777" w:rsidR="00A903D3" w:rsidRPr="00360490" w:rsidRDefault="00A903D3" w:rsidP="00A903D3">
            <w:pPr>
              <w:rPr>
                <w:rFonts w:ascii="Arial" w:hAnsi="Arial"/>
                <w:b/>
                <w:sz w:val="20"/>
                <w:szCs w:val="20"/>
              </w:rPr>
            </w:pPr>
            <w:r w:rsidRPr="00360490">
              <w:rPr>
                <w:rFonts w:ascii="Arial" w:hAnsi="Arial"/>
                <w:b/>
                <w:sz w:val="20"/>
                <w:szCs w:val="20"/>
              </w:rPr>
              <w:t xml:space="preserve">Financial Intermediaries’ Financial Needs </w:t>
            </w:r>
            <w:r w:rsidRPr="00360490">
              <w:rPr>
                <w:rFonts w:ascii="Arial" w:hAnsi="Arial"/>
                <w:i/>
                <w:sz w:val="20"/>
                <w:szCs w:val="20"/>
              </w:rPr>
              <w:t>(if applicable)</w:t>
            </w:r>
          </w:p>
        </w:tc>
        <w:tc>
          <w:tcPr>
            <w:tcW w:w="7247" w:type="dxa"/>
          </w:tcPr>
          <w:p w14:paraId="144A7D1C" w14:textId="77777777" w:rsidR="009143FE" w:rsidRPr="00360490" w:rsidRDefault="00687765" w:rsidP="009143FE">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607580090"/>
                <w14:checkbox>
                  <w14:checked w14:val="1"/>
                  <w14:checkedState w14:val="2612" w14:font="MS Gothic"/>
                  <w14:uncheckedState w14:val="2610" w14:font="MS Gothic"/>
                </w14:checkbox>
              </w:sdtPr>
              <w:sdtEndPr/>
              <w:sdtContent>
                <w:r w:rsidR="00766559">
                  <w:rPr>
                    <w:rFonts w:ascii="MS Gothic" w:eastAsia="MS Gothic" w:hAnsi="MS Gothic" w:cs="Arial" w:hint="eastAsia"/>
                    <w:sz w:val="20"/>
                    <w:szCs w:val="20"/>
                  </w:rPr>
                  <w:t>☒</w:t>
                </w:r>
              </w:sdtContent>
            </w:sdt>
            <w:r w:rsidR="009143FE" w:rsidRPr="00360490">
              <w:rPr>
                <w:rFonts w:ascii="Arial" w:hAnsi="Arial" w:cs="Arial"/>
                <w:sz w:val="20"/>
                <w:szCs w:val="20"/>
              </w:rPr>
              <w:t xml:space="preserve">Liquidity            </w:t>
            </w:r>
          </w:p>
          <w:p w14:paraId="08AE4E94" w14:textId="77777777" w:rsidR="009143FE" w:rsidRPr="00360490" w:rsidRDefault="00687765" w:rsidP="009143FE">
            <w:pPr>
              <w:autoSpaceDE w:val="0"/>
              <w:autoSpaceDN w:val="0"/>
              <w:adjustRightInd w:val="0"/>
              <w:jc w:val="both"/>
              <w:rPr>
                <w:rFonts w:ascii="Arial" w:hAnsi="Arial" w:cs="Arial"/>
                <w:sz w:val="20"/>
                <w:szCs w:val="20"/>
              </w:rPr>
            </w:pPr>
            <w:sdt>
              <w:sdtPr>
                <w:rPr>
                  <w:rFonts w:ascii="Arial" w:hAnsi="Arial" w:cs="Arial"/>
                  <w:sz w:val="20"/>
                  <w:szCs w:val="20"/>
                </w:rPr>
                <w:id w:val="-1635480127"/>
                <w14:checkbox>
                  <w14:checked w14:val="1"/>
                  <w14:checkedState w14:val="2612" w14:font="MS Gothic"/>
                  <w14:uncheckedState w14:val="2610" w14:font="MS Gothic"/>
                </w14:checkbox>
              </w:sdtPr>
              <w:sdtEndPr/>
              <w:sdtContent>
                <w:r w:rsidR="000434B4">
                  <w:rPr>
                    <w:rFonts w:ascii="MS Gothic" w:eastAsia="MS Gothic" w:hAnsi="MS Gothic" w:cs="Arial" w:hint="eastAsia"/>
                    <w:sz w:val="20"/>
                    <w:szCs w:val="20"/>
                  </w:rPr>
                  <w:t>☒</w:t>
                </w:r>
              </w:sdtContent>
            </w:sdt>
            <w:r w:rsidR="009143FE" w:rsidRPr="00360490">
              <w:rPr>
                <w:rFonts w:ascii="Arial" w:hAnsi="Arial" w:cs="Arial"/>
                <w:sz w:val="20"/>
                <w:szCs w:val="20"/>
              </w:rPr>
              <w:t>Risk protection</w:t>
            </w:r>
          </w:p>
          <w:p w14:paraId="468C24A4" w14:textId="0606B550" w:rsidR="00A903D3" w:rsidRPr="00360490" w:rsidRDefault="00687765" w:rsidP="00687765">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338515889"/>
                <w14:checkbox>
                  <w14:checked w14:val="0"/>
                  <w14:checkedState w14:val="2612" w14:font="MS Gothic"/>
                  <w14:uncheckedState w14:val="2610" w14:font="MS Gothic"/>
                </w14:checkbox>
              </w:sdtPr>
              <w:sdtEndPr/>
              <w:sdtContent>
                <w:r w:rsidR="009143FE" w:rsidRPr="00360490">
                  <w:rPr>
                    <w:rFonts w:ascii="MS Gothic" w:eastAsia="MS Gothic" w:hAnsi="MS Gothic" w:cs="Arial" w:hint="eastAsia"/>
                    <w:sz w:val="20"/>
                    <w:szCs w:val="20"/>
                  </w:rPr>
                  <w:t>☐</w:t>
                </w:r>
              </w:sdtContent>
            </w:sdt>
            <w:r w:rsidR="009143FE" w:rsidRPr="00360490">
              <w:rPr>
                <w:rFonts w:ascii="Arial" w:hAnsi="Arial" w:cs="Arial"/>
                <w:sz w:val="20"/>
                <w:szCs w:val="20"/>
              </w:rPr>
              <w:t xml:space="preserve">Other </w:t>
            </w:r>
            <w:r w:rsidR="009143FE" w:rsidRPr="00360490">
              <w:rPr>
                <w:rFonts w:ascii="Arial" w:hAnsi="Arial" w:cs="Arial"/>
                <w:i/>
                <w:sz w:val="20"/>
                <w:szCs w:val="20"/>
              </w:rPr>
              <w:t>(please specify)</w:t>
            </w:r>
          </w:p>
        </w:tc>
      </w:tr>
      <w:tr w:rsidR="00A903D3" w:rsidRPr="00360490" w14:paraId="66A7D778" w14:textId="77777777" w:rsidTr="00284A08">
        <w:tc>
          <w:tcPr>
            <w:tcW w:w="803" w:type="dxa"/>
          </w:tcPr>
          <w:p w14:paraId="3AEA69C7" w14:textId="77777777" w:rsidR="00A903D3" w:rsidRPr="00360490" w:rsidRDefault="00A903D3" w:rsidP="00A903D3">
            <w:pPr>
              <w:rPr>
                <w:rFonts w:ascii="Arial" w:hAnsi="Arial"/>
                <w:b/>
                <w:sz w:val="20"/>
                <w:szCs w:val="20"/>
              </w:rPr>
            </w:pPr>
            <w:r w:rsidRPr="00360490">
              <w:rPr>
                <w:rFonts w:ascii="Arial" w:hAnsi="Arial"/>
                <w:b/>
                <w:sz w:val="20"/>
                <w:szCs w:val="20"/>
              </w:rPr>
              <w:lastRenderedPageBreak/>
              <w:t>10.c</w:t>
            </w:r>
          </w:p>
        </w:tc>
        <w:tc>
          <w:tcPr>
            <w:tcW w:w="2514" w:type="dxa"/>
          </w:tcPr>
          <w:p w14:paraId="4DE8D64D" w14:textId="77777777" w:rsidR="00A903D3" w:rsidRPr="00360490" w:rsidRDefault="00A903D3" w:rsidP="00A903D3">
            <w:pPr>
              <w:rPr>
                <w:rFonts w:ascii="Arial" w:hAnsi="Arial"/>
                <w:b/>
                <w:sz w:val="20"/>
                <w:szCs w:val="20"/>
              </w:rPr>
            </w:pPr>
            <w:r w:rsidRPr="00360490">
              <w:rPr>
                <w:rFonts w:ascii="Arial" w:hAnsi="Arial"/>
                <w:b/>
                <w:sz w:val="20"/>
                <w:szCs w:val="20"/>
              </w:rPr>
              <w:t xml:space="preserve">Type of product provided by the Implementing Partner to the Financial Intermediary </w:t>
            </w:r>
            <w:r w:rsidRPr="00360490">
              <w:rPr>
                <w:rFonts w:ascii="Arial" w:hAnsi="Arial"/>
                <w:i/>
                <w:sz w:val="20"/>
                <w:szCs w:val="20"/>
              </w:rPr>
              <w:t>(if applicable)</w:t>
            </w:r>
          </w:p>
        </w:tc>
        <w:tc>
          <w:tcPr>
            <w:tcW w:w="7247" w:type="dxa"/>
          </w:tcPr>
          <w:p w14:paraId="78722E19" w14:textId="77777777" w:rsidR="00A903D3" w:rsidRPr="00360490" w:rsidRDefault="00687765" w:rsidP="00A903D3">
            <w:pPr>
              <w:autoSpaceDE w:val="0"/>
              <w:autoSpaceDN w:val="0"/>
              <w:adjustRightInd w:val="0"/>
              <w:jc w:val="both"/>
              <w:rPr>
                <w:rFonts w:ascii="Arial" w:hAnsi="Arial" w:cs="Arial"/>
                <w:sz w:val="20"/>
                <w:szCs w:val="20"/>
              </w:rPr>
            </w:pPr>
            <w:sdt>
              <w:sdtPr>
                <w:rPr>
                  <w:rFonts w:ascii="Arial" w:hAnsi="Arial" w:cs="Arial"/>
                  <w:sz w:val="20"/>
                  <w:szCs w:val="20"/>
                </w:rPr>
                <w:id w:val="877051048"/>
                <w14:checkbox>
                  <w14:checked w14:val="0"/>
                  <w14:checkedState w14:val="2612" w14:font="MS Gothic"/>
                  <w14:uncheckedState w14:val="2610" w14:font="MS Gothic"/>
                </w14:checkbox>
              </w:sdtPr>
              <w:sdtEndPr/>
              <w:sdtContent>
                <w:r w:rsidR="00766559">
                  <w:rPr>
                    <w:rFonts w:ascii="MS Gothic" w:eastAsia="MS Gothic" w:hAnsi="MS Gothic" w:cs="Arial" w:hint="eastAsia"/>
                    <w:sz w:val="20"/>
                    <w:szCs w:val="20"/>
                  </w:rPr>
                  <w:t>☐</w:t>
                </w:r>
              </w:sdtContent>
            </w:sdt>
            <w:r w:rsidR="00A903D3" w:rsidRPr="00360490">
              <w:rPr>
                <w:rFonts w:ascii="Arial" w:hAnsi="Arial" w:cs="Arial"/>
                <w:sz w:val="20"/>
                <w:szCs w:val="20"/>
              </w:rPr>
              <w:t>Loan (Senior / Subordinated)</w:t>
            </w:r>
          </w:p>
          <w:p w14:paraId="4F5F6506" w14:textId="7411F240" w:rsidR="008E1EA4" w:rsidRDefault="00687765" w:rsidP="00A903D3">
            <w:pPr>
              <w:autoSpaceDE w:val="0"/>
              <w:autoSpaceDN w:val="0"/>
              <w:adjustRightInd w:val="0"/>
              <w:jc w:val="both"/>
              <w:rPr>
                <w:rFonts w:ascii="Arial" w:hAnsi="Arial" w:cs="Arial"/>
                <w:sz w:val="20"/>
                <w:szCs w:val="20"/>
              </w:rPr>
            </w:pPr>
            <w:sdt>
              <w:sdtPr>
                <w:rPr>
                  <w:rFonts w:ascii="Arial" w:hAnsi="Arial" w:cs="Arial"/>
                  <w:sz w:val="20"/>
                  <w:szCs w:val="20"/>
                </w:rPr>
                <w:id w:val="1561828280"/>
                <w14:checkbox>
                  <w14:checked w14:val="1"/>
                  <w14:checkedState w14:val="2612" w14:font="MS Gothic"/>
                  <w14:uncheckedState w14:val="2610" w14:font="MS Gothic"/>
                </w14:checkbox>
              </w:sdtPr>
              <w:sdtEndPr/>
              <w:sdtContent>
                <w:r w:rsidR="0049252C">
                  <w:rPr>
                    <w:rFonts w:ascii="MS Gothic" w:eastAsia="MS Gothic" w:hAnsi="MS Gothic" w:cs="Arial" w:hint="eastAsia"/>
                    <w:sz w:val="20"/>
                    <w:szCs w:val="20"/>
                  </w:rPr>
                  <w:t>☒</w:t>
                </w:r>
              </w:sdtContent>
            </w:sdt>
            <w:r w:rsidR="00284A08">
              <w:rPr>
                <w:rFonts w:ascii="Arial" w:hAnsi="Arial" w:cs="Arial"/>
                <w:sz w:val="20"/>
                <w:szCs w:val="20"/>
              </w:rPr>
              <w:t>(Counter-)</w:t>
            </w:r>
            <w:r w:rsidR="00A903D3" w:rsidRPr="00360490">
              <w:rPr>
                <w:rFonts w:ascii="Arial" w:hAnsi="Arial" w:cs="Arial"/>
                <w:sz w:val="20"/>
                <w:szCs w:val="20"/>
              </w:rPr>
              <w:t xml:space="preserve">Guarantee </w:t>
            </w:r>
            <w:r w:rsidR="00284A08">
              <w:rPr>
                <w:rFonts w:ascii="Arial" w:hAnsi="Arial" w:cs="Arial"/>
                <w:sz w:val="20"/>
                <w:szCs w:val="20"/>
              </w:rPr>
              <w:t>(capped guarantee, uncapped guarantee)</w:t>
            </w:r>
          </w:p>
          <w:p w14:paraId="19B37F68" w14:textId="77777777" w:rsidR="00A903D3" w:rsidRPr="00360490" w:rsidRDefault="00687765" w:rsidP="00A903D3">
            <w:pPr>
              <w:autoSpaceDE w:val="0"/>
              <w:autoSpaceDN w:val="0"/>
              <w:adjustRightInd w:val="0"/>
              <w:jc w:val="both"/>
              <w:rPr>
                <w:rFonts w:ascii="Arial" w:hAnsi="Arial" w:cs="Arial"/>
                <w:sz w:val="20"/>
                <w:szCs w:val="20"/>
              </w:rPr>
            </w:pPr>
            <w:sdt>
              <w:sdtPr>
                <w:rPr>
                  <w:rFonts w:ascii="Arial" w:hAnsi="Arial" w:cs="Arial"/>
                  <w:sz w:val="20"/>
                  <w:szCs w:val="20"/>
                </w:rPr>
                <w:id w:val="-321357498"/>
                <w14:checkbox>
                  <w14:checked w14:val="0"/>
                  <w14:checkedState w14:val="2612" w14:font="MS Gothic"/>
                  <w14:uncheckedState w14:val="2610" w14:font="MS Gothic"/>
                </w14:checkbox>
              </w:sdtPr>
              <w:sdtEndPr/>
              <w:sdtContent>
                <w:r w:rsidR="00A903D3" w:rsidRPr="00360490">
                  <w:rPr>
                    <w:rFonts w:ascii="MS Gothic" w:eastAsia="MS Gothic" w:hAnsi="MS Gothic" w:cs="Arial" w:hint="eastAsia"/>
                    <w:sz w:val="20"/>
                    <w:szCs w:val="20"/>
                  </w:rPr>
                  <w:t>☐</w:t>
                </w:r>
              </w:sdtContent>
            </w:sdt>
            <w:r w:rsidR="00A903D3" w:rsidRPr="00360490">
              <w:rPr>
                <w:rFonts w:ascii="Arial" w:hAnsi="Arial" w:cs="Arial"/>
                <w:sz w:val="20"/>
                <w:szCs w:val="20"/>
              </w:rPr>
              <w:t xml:space="preserve">Equity </w:t>
            </w:r>
            <w:r w:rsidR="00284A08">
              <w:rPr>
                <w:rFonts w:ascii="Arial" w:hAnsi="Arial" w:cs="Arial"/>
                <w:sz w:val="20"/>
                <w:szCs w:val="20"/>
              </w:rPr>
              <w:t xml:space="preserve">and quasi-equity </w:t>
            </w:r>
            <w:r w:rsidR="00A903D3" w:rsidRPr="00360490">
              <w:rPr>
                <w:rFonts w:ascii="Arial" w:hAnsi="Arial" w:cs="Arial"/>
                <w:i/>
                <w:sz w:val="20"/>
                <w:szCs w:val="20"/>
              </w:rPr>
              <w:t>(please specify)</w:t>
            </w:r>
          </w:p>
          <w:p w14:paraId="162B85A9" w14:textId="77777777" w:rsidR="00EA0E26" w:rsidRDefault="00687765" w:rsidP="00EA0E26">
            <w:pPr>
              <w:autoSpaceDE w:val="0"/>
              <w:autoSpaceDN w:val="0"/>
              <w:adjustRightInd w:val="0"/>
              <w:jc w:val="both"/>
              <w:rPr>
                <w:rFonts w:ascii="Arial" w:hAnsi="Arial" w:cs="Arial"/>
                <w:b/>
                <w:sz w:val="20"/>
                <w:szCs w:val="20"/>
              </w:rPr>
            </w:pPr>
            <w:sdt>
              <w:sdtPr>
                <w:rPr>
                  <w:rFonts w:ascii="Arial" w:hAnsi="Arial" w:cs="Arial"/>
                  <w:sz w:val="20"/>
                  <w:szCs w:val="20"/>
                </w:rPr>
                <w:id w:val="-1885467174"/>
                <w14:checkbox>
                  <w14:checked w14:val="1"/>
                  <w14:checkedState w14:val="2612" w14:font="MS Gothic"/>
                  <w14:uncheckedState w14:val="2610" w14:font="MS Gothic"/>
                </w14:checkbox>
              </w:sdtPr>
              <w:sdtEndPr/>
              <w:sdtContent>
                <w:r w:rsidR="00C4478D">
                  <w:rPr>
                    <w:rFonts w:ascii="MS Gothic" w:eastAsia="MS Gothic" w:hAnsi="MS Gothic" w:cs="Arial" w:hint="eastAsia"/>
                    <w:sz w:val="20"/>
                    <w:szCs w:val="20"/>
                  </w:rPr>
                  <w:t>☒</w:t>
                </w:r>
              </w:sdtContent>
            </w:sdt>
            <w:r w:rsidR="00A903D3" w:rsidRPr="00360490">
              <w:rPr>
                <w:rFonts w:ascii="Arial" w:hAnsi="Arial" w:cs="Arial"/>
                <w:sz w:val="20"/>
                <w:szCs w:val="20"/>
              </w:rPr>
              <w:t xml:space="preserve">Other </w:t>
            </w:r>
            <w:r w:rsidR="00C4478D">
              <w:rPr>
                <w:rFonts w:ascii="Arial" w:hAnsi="Arial" w:cs="Arial"/>
                <w:i/>
                <w:sz w:val="20"/>
                <w:szCs w:val="20"/>
              </w:rPr>
              <w:t xml:space="preserve"> – </w:t>
            </w:r>
            <w:r w:rsidR="00C4478D" w:rsidRPr="00C4478D">
              <w:rPr>
                <w:rFonts w:ascii="Arial" w:hAnsi="Arial" w:cs="Arial"/>
                <w:sz w:val="20"/>
                <w:szCs w:val="20"/>
              </w:rPr>
              <w:t>on-lending guarantees</w:t>
            </w:r>
            <w:r w:rsidR="00EA0E26" w:rsidRPr="008E1EA4">
              <w:rPr>
                <w:rFonts w:ascii="Arial" w:hAnsi="Arial" w:cs="Arial"/>
                <w:b/>
                <w:sz w:val="20"/>
                <w:szCs w:val="20"/>
              </w:rPr>
              <w:t xml:space="preserve"> </w:t>
            </w:r>
          </w:p>
          <w:p w14:paraId="1EB365CF" w14:textId="77777777" w:rsidR="00EA0E26" w:rsidRDefault="00EA0E26" w:rsidP="00EA0E26">
            <w:pPr>
              <w:autoSpaceDE w:val="0"/>
              <w:autoSpaceDN w:val="0"/>
              <w:adjustRightInd w:val="0"/>
              <w:jc w:val="both"/>
              <w:rPr>
                <w:rFonts w:ascii="Arial" w:hAnsi="Arial" w:cs="Arial"/>
                <w:b/>
                <w:sz w:val="20"/>
                <w:szCs w:val="20"/>
              </w:rPr>
            </w:pPr>
          </w:p>
          <w:p w14:paraId="63557FA1" w14:textId="77777777" w:rsidR="00EA0E26" w:rsidRPr="008E1EA4" w:rsidRDefault="00EA0E26" w:rsidP="00EA0E26">
            <w:pPr>
              <w:autoSpaceDE w:val="0"/>
              <w:autoSpaceDN w:val="0"/>
              <w:adjustRightInd w:val="0"/>
              <w:jc w:val="both"/>
              <w:rPr>
                <w:rFonts w:ascii="Arial" w:hAnsi="Arial" w:cs="Arial"/>
                <w:sz w:val="20"/>
                <w:szCs w:val="20"/>
              </w:rPr>
            </w:pPr>
            <w:r w:rsidRPr="008E1EA4">
              <w:rPr>
                <w:rFonts w:ascii="Arial" w:hAnsi="Arial" w:cs="Arial"/>
                <w:b/>
                <w:sz w:val="20"/>
                <w:szCs w:val="20"/>
              </w:rPr>
              <w:t>Capped portfolio guarantees</w:t>
            </w:r>
            <w:r w:rsidRPr="008E1EA4">
              <w:rPr>
                <w:rFonts w:ascii="Arial" w:hAnsi="Arial" w:cs="Arial"/>
                <w:sz w:val="20"/>
                <w:szCs w:val="20"/>
              </w:rPr>
              <w:t xml:space="preserve"> covering expected losses of the portfolio to be built up.</w:t>
            </w:r>
          </w:p>
          <w:p w14:paraId="620E1DA0" w14:textId="77777777" w:rsidR="00EA0E26" w:rsidRDefault="00EA0E26" w:rsidP="00EA0E26">
            <w:pPr>
              <w:autoSpaceDE w:val="0"/>
              <w:autoSpaceDN w:val="0"/>
              <w:adjustRightInd w:val="0"/>
              <w:jc w:val="both"/>
              <w:rPr>
                <w:rFonts w:ascii="Arial" w:hAnsi="Arial" w:cs="Arial"/>
                <w:sz w:val="20"/>
                <w:szCs w:val="20"/>
                <w:u w:val="single"/>
              </w:rPr>
            </w:pPr>
          </w:p>
          <w:p w14:paraId="529370AB" w14:textId="67EF7C7A" w:rsidR="00EA0E26" w:rsidRDefault="00EA0E26" w:rsidP="00EA0E26">
            <w:pPr>
              <w:autoSpaceDE w:val="0"/>
              <w:autoSpaceDN w:val="0"/>
              <w:adjustRightInd w:val="0"/>
              <w:jc w:val="both"/>
              <w:rPr>
                <w:rFonts w:ascii="Arial" w:hAnsi="Arial" w:cs="Arial"/>
                <w:sz w:val="20"/>
                <w:szCs w:val="20"/>
              </w:rPr>
            </w:pPr>
            <w:r w:rsidRPr="008E1EA4">
              <w:rPr>
                <w:rFonts w:ascii="Arial" w:hAnsi="Arial" w:cs="Arial"/>
                <w:b/>
                <w:sz w:val="20"/>
                <w:szCs w:val="20"/>
              </w:rPr>
              <w:t>Uncapped portfolio guarantees</w:t>
            </w:r>
            <w:r>
              <w:rPr>
                <w:rFonts w:ascii="Arial" w:hAnsi="Arial" w:cs="Arial"/>
                <w:sz w:val="20"/>
                <w:szCs w:val="20"/>
              </w:rPr>
              <w:t xml:space="preserve"> can be provided to the </w:t>
            </w:r>
            <w:r w:rsidR="002169EC">
              <w:rPr>
                <w:rFonts w:ascii="Arial" w:hAnsi="Arial" w:cs="Arial"/>
                <w:sz w:val="20"/>
                <w:szCs w:val="20"/>
              </w:rPr>
              <w:t>financial intermediary if the implementing p</w:t>
            </w:r>
            <w:r>
              <w:rPr>
                <w:rFonts w:ascii="Arial" w:hAnsi="Arial" w:cs="Arial"/>
                <w:sz w:val="20"/>
                <w:szCs w:val="20"/>
              </w:rPr>
              <w:t>artner is engaging with its own resources for the mezzanine and senior risk</w:t>
            </w:r>
            <w:r w:rsidR="0018157D">
              <w:rPr>
                <w:rFonts w:ascii="Arial" w:hAnsi="Arial" w:cs="Arial"/>
                <w:sz w:val="20"/>
                <w:szCs w:val="20"/>
              </w:rPr>
              <w:t xml:space="preserve"> (i.e. any risk exceeding the expected losses)</w:t>
            </w:r>
            <w:r>
              <w:rPr>
                <w:rFonts w:ascii="Arial" w:hAnsi="Arial" w:cs="Arial"/>
                <w:sz w:val="20"/>
                <w:szCs w:val="20"/>
              </w:rPr>
              <w:t xml:space="preserve">; </w:t>
            </w:r>
          </w:p>
          <w:p w14:paraId="7D563F63" w14:textId="77777777" w:rsidR="00EA0E26" w:rsidRDefault="00EA0E26" w:rsidP="00EA0E26">
            <w:pPr>
              <w:autoSpaceDE w:val="0"/>
              <w:autoSpaceDN w:val="0"/>
              <w:adjustRightInd w:val="0"/>
              <w:jc w:val="both"/>
              <w:rPr>
                <w:rFonts w:ascii="Arial" w:hAnsi="Arial" w:cs="Arial"/>
                <w:sz w:val="20"/>
                <w:szCs w:val="20"/>
              </w:rPr>
            </w:pPr>
          </w:p>
          <w:p w14:paraId="70CAAF0D" w14:textId="6E0E0F6F" w:rsidR="00A903D3" w:rsidRPr="00C4478D" w:rsidRDefault="00EA0E26" w:rsidP="00A903D3">
            <w:pPr>
              <w:autoSpaceDE w:val="0"/>
              <w:autoSpaceDN w:val="0"/>
              <w:adjustRightInd w:val="0"/>
              <w:jc w:val="both"/>
              <w:rPr>
                <w:rFonts w:ascii="Arial" w:hAnsi="Arial" w:cs="Arial"/>
                <w:sz w:val="20"/>
                <w:szCs w:val="20"/>
              </w:rPr>
            </w:pPr>
            <w:r>
              <w:t>[</w:t>
            </w:r>
            <w:r w:rsidR="002169EC">
              <w:rPr>
                <w:rFonts w:ascii="Arial" w:hAnsi="Arial" w:cs="Arial"/>
                <w:i/>
                <w:sz w:val="20"/>
                <w:szCs w:val="20"/>
              </w:rPr>
              <w:t>In case the financial i</w:t>
            </w:r>
            <w:r w:rsidRPr="0018157D">
              <w:rPr>
                <w:rFonts w:ascii="Arial" w:hAnsi="Arial" w:cs="Arial"/>
                <w:i/>
                <w:sz w:val="20"/>
                <w:szCs w:val="20"/>
              </w:rPr>
              <w:t>ntermediary would request risk coverage exceeding the expected losses, part of the mezzanine risk may also be covered by the EU guarantee but will require risk remuneration</w:t>
            </w:r>
            <w:r w:rsidR="0018157D" w:rsidRPr="0018157D">
              <w:rPr>
                <w:rFonts w:ascii="Arial" w:hAnsi="Arial" w:cs="Arial"/>
                <w:i/>
                <w:sz w:val="20"/>
                <w:szCs w:val="20"/>
              </w:rPr>
              <w:t xml:space="preserve"> – to be discussed</w:t>
            </w:r>
            <w:r>
              <w:rPr>
                <w:rFonts w:ascii="Arial" w:hAnsi="Arial" w:cs="Arial"/>
                <w:sz w:val="20"/>
                <w:szCs w:val="20"/>
              </w:rPr>
              <w:t>]</w:t>
            </w:r>
          </w:p>
          <w:p w14:paraId="2AAA69C1" w14:textId="77777777" w:rsidR="00A903D3" w:rsidRPr="00360490" w:rsidRDefault="00A903D3" w:rsidP="00A903D3">
            <w:pPr>
              <w:tabs>
                <w:tab w:val="left" w:pos="3330"/>
              </w:tabs>
              <w:autoSpaceDE w:val="0"/>
              <w:autoSpaceDN w:val="0"/>
              <w:adjustRightInd w:val="0"/>
              <w:jc w:val="both"/>
              <w:rPr>
                <w:rFonts w:ascii="Arial" w:hAnsi="Arial" w:cs="Arial"/>
                <w:sz w:val="20"/>
                <w:szCs w:val="20"/>
              </w:rPr>
            </w:pPr>
          </w:p>
        </w:tc>
      </w:tr>
      <w:tr w:rsidR="00284A08" w:rsidRPr="00360490" w14:paraId="7ABE5375" w14:textId="77777777" w:rsidTr="00284A08">
        <w:tc>
          <w:tcPr>
            <w:tcW w:w="803" w:type="dxa"/>
          </w:tcPr>
          <w:p w14:paraId="500205F0" w14:textId="77777777" w:rsidR="00284A08" w:rsidRPr="00360490" w:rsidRDefault="00284A08" w:rsidP="00284A08">
            <w:pPr>
              <w:rPr>
                <w:rFonts w:ascii="Arial" w:hAnsi="Arial"/>
                <w:b/>
                <w:sz w:val="20"/>
                <w:szCs w:val="20"/>
              </w:rPr>
            </w:pPr>
            <w:r>
              <w:rPr>
                <w:rFonts w:ascii="Arial" w:hAnsi="Arial"/>
                <w:b/>
                <w:sz w:val="20"/>
                <w:szCs w:val="20"/>
              </w:rPr>
              <w:t>10.d</w:t>
            </w:r>
          </w:p>
        </w:tc>
        <w:tc>
          <w:tcPr>
            <w:tcW w:w="2514" w:type="dxa"/>
          </w:tcPr>
          <w:p w14:paraId="78AA9EE0" w14:textId="77777777" w:rsidR="00284A08" w:rsidRDefault="00284A08" w:rsidP="00284A08">
            <w:pPr>
              <w:rPr>
                <w:rFonts w:ascii="Arial" w:hAnsi="Arial"/>
                <w:b/>
                <w:sz w:val="20"/>
                <w:szCs w:val="20"/>
              </w:rPr>
            </w:pPr>
            <w:r w:rsidRPr="0064259A">
              <w:rPr>
                <w:rFonts w:ascii="Arial" w:hAnsi="Arial"/>
                <w:b/>
                <w:sz w:val="20"/>
                <w:szCs w:val="20"/>
              </w:rPr>
              <w:t>Type of product provided by the Financial Intermediary</w:t>
            </w:r>
            <w:r>
              <w:rPr>
                <w:rFonts w:ascii="Arial" w:hAnsi="Arial"/>
                <w:b/>
                <w:sz w:val="20"/>
                <w:szCs w:val="20"/>
              </w:rPr>
              <w:t xml:space="preserve"> to Final Recipients</w:t>
            </w:r>
            <w:r w:rsidRPr="0064259A">
              <w:rPr>
                <w:rFonts w:ascii="Arial" w:hAnsi="Arial"/>
                <w:b/>
                <w:sz w:val="20"/>
                <w:szCs w:val="20"/>
              </w:rPr>
              <w:t xml:space="preserve"> </w:t>
            </w:r>
          </w:p>
          <w:p w14:paraId="449DFDA6" w14:textId="77777777" w:rsidR="00284A08" w:rsidRPr="00360490" w:rsidRDefault="00284A08" w:rsidP="00284A08">
            <w:pPr>
              <w:rPr>
                <w:rFonts w:ascii="Arial" w:hAnsi="Arial"/>
                <w:b/>
                <w:sz w:val="20"/>
                <w:szCs w:val="20"/>
              </w:rPr>
            </w:pPr>
            <w:r w:rsidRPr="0064259A">
              <w:rPr>
                <w:rFonts w:ascii="Arial" w:hAnsi="Arial"/>
                <w:i/>
                <w:sz w:val="20"/>
                <w:szCs w:val="20"/>
              </w:rPr>
              <w:t>(if applicable)</w:t>
            </w:r>
          </w:p>
        </w:tc>
        <w:tc>
          <w:tcPr>
            <w:tcW w:w="7247" w:type="dxa"/>
          </w:tcPr>
          <w:p w14:paraId="7C188FF5" w14:textId="77777777" w:rsidR="00284A08" w:rsidRPr="00360490" w:rsidRDefault="00687765" w:rsidP="00284A08">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1685738163"/>
                <w14:checkbox>
                  <w14:checked w14:val="1"/>
                  <w14:checkedState w14:val="2612" w14:font="MS Gothic"/>
                  <w14:uncheckedState w14:val="2610" w14:font="MS Gothic"/>
                </w14:checkbox>
              </w:sdtPr>
              <w:sdtEndPr/>
              <w:sdtContent>
                <w:r w:rsidR="00284A08">
                  <w:rPr>
                    <w:rFonts w:ascii="MS Gothic" w:eastAsia="MS Gothic" w:hAnsi="MS Gothic" w:cs="Arial" w:hint="eastAsia"/>
                    <w:sz w:val="20"/>
                    <w:szCs w:val="20"/>
                  </w:rPr>
                  <w:t>☒</w:t>
                </w:r>
              </w:sdtContent>
            </w:sdt>
            <w:r w:rsidR="00284A08">
              <w:rPr>
                <w:rFonts w:ascii="Arial" w:hAnsi="Arial" w:cs="Arial"/>
                <w:sz w:val="20"/>
                <w:szCs w:val="20"/>
              </w:rPr>
              <w:t>Loan</w:t>
            </w:r>
            <w:r w:rsidR="00284A08" w:rsidRPr="00360490">
              <w:rPr>
                <w:rFonts w:ascii="Arial" w:hAnsi="Arial" w:cs="Arial"/>
                <w:sz w:val="20"/>
                <w:szCs w:val="20"/>
              </w:rPr>
              <w:t xml:space="preserve">                                </w:t>
            </w:r>
          </w:p>
          <w:p w14:paraId="5557B538" w14:textId="77777777" w:rsidR="00284A08" w:rsidRPr="00360490" w:rsidRDefault="00687765" w:rsidP="00284A08">
            <w:pPr>
              <w:autoSpaceDE w:val="0"/>
              <w:autoSpaceDN w:val="0"/>
              <w:adjustRightInd w:val="0"/>
              <w:jc w:val="both"/>
              <w:rPr>
                <w:rFonts w:ascii="Arial" w:hAnsi="Arial" w:cs="Arial"/>
                <w:sz w:val="20"/>
                <w:szCs w:val="20"/>
              </w:rPr>
            </w:pPr>
            <w:sdt>
              <w:sdtPr>
                <w:rPr>
                  <w:rFonts w:ascii="Arial" w:hAnsi="Arial" w:cs="Arial"/>
                  <w:sz w:val="20"/>
                  <w:szCs w:val="20"/>
                </w:rPr>
                <w:id w:val="-733537724"/>
                <w14:checkbox>
                  <w14:checked w14:val="0"/>
                  <w14:checkedState w14:val="2612" w14:font="MS Gothic"/>
                  <w14:uncheckedState w14:val="2610" w14:font="MS Gothic"/>
                </w14:checkbox>
              </w:sdtPr>
              <w:sdtEndPr/>
              <w:sdtContent>
                <w:r w:rsidR="00284A08" w:rsidRPr="00360490">
                  <w:rPr>
                    <w:rFonts w:ascii="MS Gothic" w:eastAsia="MS Gothic" w:hAnsi="MS Gothic" w:cs="Arial" w:hint="eastAsia"/>
                    <w:sz w:val="20"/>
                    <w:szCs w:val="20"/>
                  </w:rPr>
                  <w:t>☐</w:t>
                </w:r>
              </w:sdtContent>
            </w:sdt>
            <w:r w:rsidR="00284A08" w:rsidRPr="00360490">
              <w:rPr>
                <w:rFonts w:ascii="Arial" w:hAnsi="Arial" w:cs="Arial"/>
                <w:sz w:val="20"/>
                <w:szCs w:val="20"/>
              </w:rPr>
              <w:t>Equity</w:t>
            </w:r>
            <w:r w:rsidR="00EB016E">
              <w:rPr>
                <w:rFonts w:ascii="Arial" w:hAnsi="Arial" w:cs="Arial"/>
                <w:sz w:val="20"/>
                <w:szCs w:val="20"/>
              </w:rPr>
              <w:t xml:space="preserve"> and quasi-equity (please specify)</w:t>
            </w:r>
          </w:p>
          <w:p w14:paraId="20D01211" w14:textId="77777777" w:rsidR="00284A08" w:rsidRDefault="00687765" w:rsidP="00284A08">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356429637"/>
                <w14:checkbox>
                  <w14:checked w14:val="1"/>
                  <w14:checkedState w14:val="2612" w14:font="MS Gothic"/>
                  <w14:uncheckedState w14:val="2610" w14:font="MS Gothic"/>
                </w14:checkbox>
              </w:sdtPr>
              <w:sdtEndPr/>
              <w:sdtContent>
                <w:r w:rsidR="00284A08">
                  <w:rPr>
                    <w:rFonts w:ascii="MS Gothic" w:eastAsia="MS Gothic" w:hAnsi="MS Gothic" w:cs="Arial" w:hint="eastAsia"/>
                    <w:sz w:val="20"/>
                    <w:szCs w:val="20"/>
                  </w:rPr>
                  <w:t>☒</w:t>
                </w:r>
              </w:sdtContent>
            </w:sdt>
            <w:r w:rsidR="00284A08" w:rsidRPr="00360490">
              <w:rPr>
                <w:rFonts w:ascii="Arial" w:hAnsi="Arial" w:cs="Arial"/>
                <w:sz w:val="20"/>
                <w:szCs w:val="20"/>
              </w:rPr>
              <w:t xml:space="preserve">Other </w:t>
            </w:r>
            <w:r w:rsidR="00284A08">
              <w:rPr>
                <w:rFonts w:ascii="Arial" w:hAnsi="Arial" w:cs="Arial"/>
                <w:sz w:val="20"/>
                <w:szCs w:val="20"/>
              </w:rPr>
              <w:t>: leases, working capital facilities, subordinated loans</w:t>
            </w:r>
            <w:r w:rsidR="0049252C">
              <w:rPr>
                <w:rFonts w:ascii="Arial" w:hAnsi="Arial" w:cs="Arial"/>
                <w:sz w:val="20"/>
                <w:szCs w:val="20"/>
              </w:rPr>
              <w:t>, etc</w:t>
            </w:r>
            <w:r w:rsidR="00284A08">
              <w:rPr>
                <w:rFonts w:ascii="Arial" w:hAnsi="Arial" w:cs="Arial"/>
                <w:sz w:val="20"/>
                <w:szCs w:val="20"/>
              </w:rPr>
              <w:t>.</w:t>
            </w:r>
          </w:p>
          <w:p w14:paraId="6951DF27" w14:textId="77777777" w:rsidR="00284A08" w:rsidRDefault="00284A08" w:rsidP="00284A08">
            <w:pPr>
              <w:tabs>
                <w:tab w:val="left" w:pos="3330"/>
              </w:tabs>
              <w:autoSpaceDE w:val="0"/>
              <w:autoSpaceDN w:val="0"/>
              <w:adjustRightInd w:val="0"/>
              <w:jc w:val="both"/>
              <w:rPr>
                <w:rFonts w:ascii="Arial" w:hAnsi="Arial" w:cs="Arial"/>
                <w:i/>
                <w:sz w:val="20"/>
                <w:szCs w:val="20"/>
              </w:rPr>
            </w:pPr>
          </w:p>
          <w:p w14:paraId="04EAD83A" w14:textId="77777777" w:rsidR="00284A08" w:rsidRDefault="00284A08" w:rsidP="00284A08">
            <w:pPr>
              <w:autoSpaceDE w:val="0"/>
              <w:autoSpaceDN w:val="0"/>
              <w:adjustRightInd w:val="0"/>
              <w:jc w:val="both"/>
              <w:rPr>
                <w:rFonts w:ascii="Arial" w:hAnsi="Arial"/>
                <w:sz w:val="20"/>
                <w:szCs w:val="20"/>
              </w:rPr>
            </w:pPr>
            <w:r w:rsidRPr="00E77E09">
              <w:rPr>
                <w:rFonts w:ascii="Arial" w:hAnsi="Arial"/>
                <w:sz w:val="20"/>
                <w:szCs w:val="20"/>
              </w:rPr>
              <w:t>Eligibility of the proposal by a financial intermediary</w:t>
            </w:r>
            <w:r w:rsidR="00E30C13">
              <w:rPr>
                <w:rFonts w:ascii="Arial" w:hAnsi="Arial"/>
                <w:sz w:val="20"/>
                <w:szCs w:val="20"/>
              </w:rPr>
              <w:t>/implementing partner in case of direct debt financing</w:t>
            </w:r>
            <w:r w:rsidRPr="00E77E09">
              <w:rPr>
                <w:rFonts w:ascii="Arial" w:hAnsi="Arial"/>
                <w:sz w:val="20"/>
                <w:szCs w:val="20"/>
              </w:rPr>
              <w:t xml:space="preserve"> shall be determined in relation to its existing business activities</w:t>
            </w:r>
            <w:r>
              <w:rPr>
                <w:rFonts w:ascii="Arial" w:hAnsi="Arial"/>
                <w:sz w:val="20"/>
                <w:szCs w:val="20"/>
              </w:rPr>
              <w:t xml:space="preserve"> and its credit risk policy</w:t>
            </w:r>
            <w:r w:rsidRPr="00E77E09">
              <w:rPr>
                <w:rFonts w:ascii="Arial" w:hAnsi="Arial"/>
                <w:sz w:val="20"/>
                <w:szCs w:val="20"/>
              </w:rPr>
              <w:t xml:space="preserve">. </w:t>
            </w:r>
          </w:p>
          <w:p w14:paraId="4075E29E" w14:textId="77777777" w:rsidR="00284A08" w:rsidRDefault="00284A08" w:rsidP="00284A08">
            <w:pPr>
              <w:autoSpaceDE w:val="0"/>
              <w:autoSpaceDN w:val="0"/>
              <w:adjustRightInd w:val="0"/>
              <w:jc w:val="both"/>
              <w:rPr>
                <w:rFonts w:ascii="Arial" w:hAnsi="Arial"/>
                <w:sz w:val="20"/>
                <w:szCs w:val="20"/>
              </w:rPr>
            </w:pPr>
          </w:p>
          <w:p w14:paraId="05838E0F" w14:textId="4A9F89AF" w:rsidR="00284A08" w:rsidRDefault="00284A08" w:rsidP="00284A08">
            <w:pPr>
              <w:autoSpaceDE w:val="0"/>
              <w:autoSpaceDN w:val="0"/>
              <w:adjustRightInd w:val="0"/>
              <w:jc w:val="both"/>
              <w:rPr>
                <w:rFonts w:ascii="Arial" w:hAnsi="Arial"/>
                <w:sz w:val="20"/>
                <w:szCs w:val="20"/>
              </w:rPr>
            </w:pPr>
            <w:r w:rsidRPr="00E77E09">
              <w:rPr>
                <w:rFonts w:ascii="Arial" w:hAnsi="Arial"/>
                <w:sz w:val="20"/>
                <w:szCs w:val="20"/>
              </w:rPr>
              <w:t>The EU guarantee shall lead to the financial intermediary</w:t>
            </w:r>
            <w:r w:rsidR="00E30C13">
              <w:rPr>
                <w:rFonts w:ascii="Arial" w:hAnsi="Arial"/>
                <w:sz w:val="20"/>
                <w:szCs w:val="20"/>
              </w:rPr>
              <w:t>/implementing partner in case of direct debt financing</w:t>
            </w:r>
            <w:r w:rsidRPr="00E77E09">
              <w:rPr>
                <w:rFonts w:ascii="Arial" w:hAnsi="Arial"/>
                <w:sz w:val="20"/>
                <w:szCs w:val="20"/>
              </w:rPr>
              <w:t xml:space="preserve"> broadening its business activity by establishing a new portfolio of financing transactions which it would not have financed in the absence of the EU guarantee due to the higher risk profile </w:t>
            </w:r>
            <w:r w:rsidR="001E4B4F" w:rsidRPr="002169EC">
              <w:rPr>
                <w:rFonts w:ascii="Arial" w:hAnsi="Arial"/>
                <w:sz w:val="20"/>
                <w:szCs w:val="20"/>
              </w:rPr>
              <w:t>or size</w:t>
            </w:r>
            <w:r w:rsidR="001E4B4F">
              <w:rPr>
                <w:rFonts w:ascii="Arial" w:hAnsi="Arial"/>
                <w:sz w:val="20"/>
                <w:szCs w:val="20"/>
              </w:rPr>
              <w:t xml:space="preserve"> </w:t>
            </w:r>
            <w:r w:rsidRPr="00E77E09">
              <w:rPr>
                <w:rFonts w:ascii="Arial" w:hAnsi="Arial"/>
                <w:sz w:val="20"/>
                <w:szCs w:val="20"/>
              </w:rPr>
              <w:t>of such portfolio, whereby the increased risk taking shall be measured through the expected losses of the new portfolio to be set up.</w:t>
            </w:r>
            <w:r>
              <w:rPr>
                <w:rFonts w:ascii="Arial" w:hAnsi="Arial"/>
                <w:sz w:val="20"/>
                <w:szCs w:val="20"/>
              </w:rPr>
              <w:t xml:space="preserve"> The minimum increase in expectred losses shall be</w:t>
            </w:r>
            <w:r w:rsidR="0049252C">
              <w:rPr>
                <w:rFonts w:ascii="Arial" w:hAnsi="Arial"/>
                <w:sz w:val="20"/>
                <w:szCs w:val="20"/>
              </w:rPr>
              <w:t xml:space="preserve"> at least</w:t>
            </w:r>
            <w:r>
              <w:rPr>
                <w:rFonts w:ascii="Arial" w:hAnsi="Arial"/>
                <w:sz w:val="20"/>
                <w:szCs w:val="20"/>
              </w:rPr>
              <w:t>: 30%. Portfolios whith a cap rate of less than 5% shall not be eligible for support.</w:t>
            </w:r>
            <w:r w:rsidR="001E4B4F">
              <w:rPr>
                <w:rFonts w:ascii="Arial" w:hAnsi="Arial"/>
                <w:sz w:val="20"/>
                <w:szCs w:val="20"/>
              </w:rPr>
              <w:t xml:space="preserve"> </w:t>
            </w:r>
          </w:p>
          <w:p w14:paraId="22ED93F1" w14:textId="77777777" w:rsidR="00284A08" w:rsidRDefault="00284A08" w:rsidP="00284A08">
            <w:pPr>
              <w:autoSpaceDE w:val="0"/>
              <w:autoSpaceDN w:val="0"/>
              <w:adjustRightInd w:val="0"/>
              <w:jc w:val="both"/>
              <w:rPr>
                <w:rFonts w:ascii="Arial" w:hAnsi="Arial"/>
                <w:sz w:val="20"/>
                <w:szCs w:val="20"/>
              </w:rPr>
            </w:pPr>
          </w:p>
          <w:p w14:paraId="0F514AC3" w14:textId="77777777" w:rsidR="00284A08" w:rsidRDefault="00284A08" w:rsidP="00284A08">
            <w:pPr>
              <w:autoSpaceDE w:val="0"/>
              <w:autoSpaceDN w:val="0"/>
              <w:adjustRightInd w:val="0"/>
              <w:jc w:val="both"/>
              <w:rPr>
                <w:rFonts w:ascii="Arial" w:hAnsi="Arial"/>
                <w:sz w:val="20"/>
                <w:szCs w:val="20"/>
              </w:rPr>
            </w:pPr>
            <w:r>
              <w:rPr>
                <w:rFonts w:ascii="Arial" w:hAnsi="Arial"/>
                <w:sz w:val="20"/>
                <w:szCs w:val="20"/>
              </w:rPr>
              <w:t>Examples of such higher risk portfolios include portfolios made up of:</w:t>
            </w:r>
          </w:p>
          <w:p w14:paraId="3CADD5E2" w14:textId="77777777" w:rsidR="00284A08" w:rsidRDefault="00284A08" w:rsidP="00284A08">
            <w:pPr>
              <w:pStyle w:val="ListParagraph"/>
              <w:numPr>
                <w:ilvl w:val="0"/>
                <w:numId w:val="10"/>
              </w:numPr>
              <w:autoSpaceDE w:val="0"/>
              <w:autoSpaceDN w:val="0"/>
              <w:adjustRightInd w:val="0"/>
              <w:jc w:val="both"/>
              <w:rPr>
                <w:rFonts w:ascii="Arial" w:hAnsi="Arial"/>
                <w:sz w:val="20"/>
                <w:szCs w:val="20"/>
              </w:rPr>
            </w:pPr>
            <w:r>
              <w:rPr>
                <w:rFonts w:ascii="Arial" w:hAnsi="Arial"/>
                <w:sz w:val="20"/>
                <w:szCs w:val="20"/>
              </w:rPr>
              <w:t>Financing transactions which are currently not provided to start-ups (or provided to certain categories of start-ups, or to previously excluded start-ups);</w:t>
            </w:r>
          </w:p>
          <w:p w14:paraId="73F31E08" w14:textId="77777777" w:rsidR="00284A08" w:rsidRDefault="00284A08" w:rsidP="00284A08">
            <w:pPr>
              <w:pStyle w:val="ListParagraph"/>
              <w:numPr>
                <w:ilvl w:val="0"/>
                <w:numId w:val="10"/>
              </w:numPr>
              <w:autoSpaceDE w:val="0"/>
              <w:autoSpaceDN w:val="0"/>
              <w:adjustRightInd w:val="0"/>
              <w:jc w:val="both"/>
              <w:rPr>
                <w:rFonts w:ascii="Arial" w:hAnsi="Arial"/>
                <w:sz w:val="20"/>
                <w:szCs w:val="20"/>
              </w:rPr>
            </w:pPr>
            <w:r>
              <w:rPr>
                <w:rFonts w:ascii="Arial" w:hAnsi="Arial"/>
                <w:sz w:val="20"/>
                <w:szCs w:val="20"/>
              </w:rPr>
              <w:t>Financing transactions which are provided with exis</w:t>
            </w:r>
            <w:r w:rsidRPr="00197EFD">
              <w:rPr>
                <w:rFonts w:ascii="Arial" w:hAnsi="Arial"/>
                <w:sz w:val="20"/>
                <w:szCs w:val="20"/>
              </w:rPr>
              <w:t xml:space="preserve">ting features but cover previously excluded categories of recipients where such categories of recipients are excluded for </w:t>
            </w:r>
            <w:r>
              <w:rPr>
                <w:rFonts w:ascii="Arial" w:hAnsi="Arial"/>
                <w:sz w:val="20"/>
                <w:szCs w:val="20"/>
              </w:rPr>
              <w:t xml:space="preserve">credit </w:t>
            </w:r>
            <w:r w:rsidRPr="00197EFD">
              <w:rPr>
                <w:rFonts w:ascii="Arial" w:hAnsi="Arial"/>
                <w:sz w:val="20"/>
                <w:szCs w:val="20"/>
              </w:rPr>
              <w:t>risk reasons)</w:t>
            </w:r>
            <w:r>
              <w:rPr>
                <w:rFonts w:ascii="Arial" w:hAnsi="Arial"/>
                <w:sz w:val="20"/>
                <w:szCs w:val="20"/>
              </w:rPr>
              <w:t>;</w:t>
            </w:r>
          </w:p>
          <w:p w14:paraId="50D41E6E" w14:textId="77777777" w:rsidR="00284A08" w:rsidRDefault="00284A08" w:rsidP="00284A08">
            <w:pPr>
              <w:pStyle w:val="ListParagraph"/>
              <w:numPr>
                <w:ilvl w:val="0"/>
                <w:numId w:val="10"/>
              </w:numPr>
              <w:autoSpaceDE w:val="0"/>
              <w:autoSpaceDN w:val="0"/>
              <w:adjustRightInd w:val="0"/>
              <w:jc w:val="both"/>
              <w:rPr>
                <w:rFonts w:ascii="Arial" w:hAnsi="Arial"/>
                <w:sz w:val="20"/>
                <w:szCs w:val="20"/>
              </w:rPr>
            </w:pPr>
            <w:r>
              <w:rPr>
                <w:rFonts w:ascii="Arial" w:hAnsi="Arial"/>
                <w:sz w:val="20"/>
                <w:szCs w:val="20"/>
              </w:rPr>
              <w:t>Financing transactions which are provided with new features (such as increased maturities and/or reduced collateral requirements);</w:t>
            </w:r>
          </w:p>
          <w:p w14:paraId="74A02FCF" w14:textId="77777777" w:rsidR="00284A08" w:rsidRDefault="00284A08" w:rsidP="00284A08">
            <w:pPr>
              <w:pStyle w:val="ListParagraph"/>
              <w:numPr>
                <w:ilvl w:val="0"/>
                <w:numId w:val="10"/>
              </w:numPr>
              <w:autoSpaceDE w:val="0"/>
              <w:autoSpaceDN w:val="0"/>
              <w:adjustRightInd w:val="0"/>
              <w:jc w:val="both"/>
              <w:rPr>
                <w:rFonts w:ascii="Arial" w:hAnsi="Arial"/>
                <w:sz w:val="20"/>
                <w:szCs w:val="20"/>
              </w:rPr>
            </w:pPr>
            <w:r>
              <w:rPr>
                <w:rFonts w:ascii="Arial" w:hAnsi="Arial"/>
                <w:sz w:val="20"/>
                <w:szCs w:val="20"/>
              </w:rPr>
              <w:t>Financing transactions on a subordinated basis which have previously not been offered due to their higher credit risk.</w:t>
            </w:r>
          </w:p>
          <w:p w14:paraId="40570DD6" w14:textId="77777777" w:rsidR="00284A08" w:rsidRDefault="00284A08" w:rsidP="00284A08">
            <w:pPr>
              <w:pStyle w:val="ListParagraph"/>
              <w:autoSpaceDE w:val="0"/>
              <w:autoSpaceDN w:val="0"/>
              <w:adjustRightInd w:val="0"/>
              <w:jc w:val="both"/>
              <w:rPr>
                <w:rFonts w:ascii="Arial" w:hAnsi="Arial"/>
                <w:sz w:val="20"/>
                <w:szCs w:val="20"/>
              </w:rPr>
            </w:pPr>
          </w:p>
          <w:p w14:paraId="66BAAB79" w14:textId="77777777" w:rsidR="00284A08" w:rsidRDefault="00284A08" w:rsidP="00284A08">
            <w:pPr>
              <w:autoSpaceDE w:val="0"/>
              <w:autoSpaceDN w:val="0"/>
              <w:adjustRightInd w:val="0"/>
              <w:jc w:val="both"/>
              <w:rPr>
                <w:rFonts w:ascii="Arial" w:hAnsi="Arial"/>
                <w:sz w:val="20"/>
                <w:szCs w:val="20"/>
              </w:rPr>
            </w:pPr>
          </w:p>
          <w:p w14:paraId="22512DE8" w14:textId="77777777" w:rsidR="00284A08" w:rsidRPr="00197EFD" w:rsidRDefault="00284A08" w:rsidP="00284A08">
            <w:pPr>
              <w:autoSpaceDE w:val="0"/>
              <w:autoSpaceDN w:val="0"/>
              <w:adjustRightInd w:val="0"/>
              <w:jc w:val="both"/>
              <w:rPr>
                <w:rFonts w:ascii="Arial" w:hAnsi="Arial"/>
                <w:sz w:val="20"/>
                <w:szCs w:val="20"/>
              </w:rPr>
            </w:pPr>
          </w:p>
          <w:p w14:paraId="1F5AD4CE" w14:textId="77777777" w:rsidR="00284A08" w:rsidRDefault="00284A08" w:rsidP="00284A08">
            <w:pPr>
              <w:autoSpaceDE w:val="0"/>
              <w:autoSpaceDN w:val="0"/>
              <w:adjustRightInd w:val="0"/>
              <w:jc w:val="both"/>
              <w:rPr>
                <w:rFonts w:ascii="Arial" w:hAnsi="Arial"/>
                <w:sz w:val="20"/>
                <w:szCs w:val="20"/>
              </w:rPr>
            </w:pPr>
            <w:r>
              <w:rPr>
                <w:rFonts w:ascii="Arial" w:hAnsi="Arial"/>
                <w:sz w:val="20"/>
                <w:szCs w:val="20"/>
              </w:rPr>
              <w:t>Within such portfolios, a higher guarantee rate shall be granted for financing transactions fulfilling the following criteria which are additional to the ones on the general financing:</w:t>
            </w:r>
          </w:p>
          <w:p w14:paraId="7AA2AD29" w14:textId="77777777" w:rsidR="00284A08" w:rsidRDefault="00284A08" w:rsidP="00284A08">
            <w:pPr>
              <w:autoSpaceDE w:val="0"/>
              <w:autoSpaceDN w:val="0"/>
              <w:adjustRightInd w:val="0"/>
              <w:jc w:val="both"/>
              <w:rPr>
                <w:rFonts w:ascii="Arial" w:hAnsi="Arial"/>
                <w:sz w:val="20"/>
                <w:szCs w:val="20"/>
              </w:rPr>
            </w:pPr>
          </w:p>
          <w:p w14:paraId="4DDA054A" w14:textId="77777777" w:rsidR="00284A08" w:rsidRPr="00E825C2" w:rsidRDefault="00284A08" w:rsidP="00284A08">
            <w:pPr>
              <w:pStyle w:val="ListParagraph"/>
              <w:numPr>
                <w:ilvl w:val="0"/>
                <w:numId w:val="13"/>
              </w:numPr>
              <w:autoSpaceDE w:val="0"/>
              <w:autoSpaceDN w:val="0"/>
              <w:adjustRightInd w:val="0"/>
              <w:jc w:val="both"/>
              <w:rPr>
                <w:rFonts w:ascii="Arial" w:hAnsi="Arial"/>
                <w:sz w:val="20"/>
                <w:szCs w:val="20"/>
              </w:rPr>
            </w:pPr>
            <w:r w:rsidRPr="00E825C2">
              <w:rPr>
                <w:rFonts w:ascii="Arial" w:hAnsi="Arial"/>
                <w:sz w:val="20"/>
                <w:szCs w:val="20"/>
              </w:rPr>
              <w:t xml:space="preserve">Additional criteria indicating high risk innovation activities: as per Annex I </w:t>
            </w:r>
          </w:p>
          <w:p w14:paraId="4009CA6A" w14:textId="77777777" w:rsidR="00284A08" w:rsidRPr="00E825C2" w:rsidRDefault="00284A08" w:rsidP="00284A08">
            <w:pPr>
              <w:autoSpaceDE w:val="0"/>
              <w:autoSpaceDN w:val="0"/>
              <w:adjustRightInd w:val="0"/>
              <w:jc w:val="both"/>
              <w:rPr>
                <w:rFonts w:ascii="Arial" w:hAnsi="Arial"/>
                <w:sz w:val="20"/>
                <w:szCs w:val="20"/>
              </w:rPr>
            </w:pPr>
          </w:p>
          <w:p w14:paraId="52A718E0" w14:textId="77777777" w:rsidR="00284A08" w:rsidRPr="00E825C2" w:rsidRDefault="00284A08" w:rsidP="00284A08">
            <w:pPr>
              <w:pStyle w:val="ListParagraph"/>
              <w:numPr>
                <w:ilvl w:val="0"/>
                <w:numId w:val="13"/>
              </w:numPr>
              <w:autoSpaceDE w:val="0"/>
              <w:autoSpaceDN w:val="0"/>
              <w:adjustRightInd w:val="0"/>
              <w:jc w:val="both"/>
              <w:rPr>
                <w:rFonts w:ascii="Arial" w:hAnsi="Arial"/>
                <w:i/>
                <w:sz w:val="20"/>
                <w:szCs w:val="20"/>
              </w:rPr>
            </w:pPr>
            <w:r w:rsidRPr="00E825C2">
              <w:rPr>
                <w:rFonts w:ascii="Arial" w:hAnsi="Arial"/>
                <w:sz w:val="20"/>
                <w:szCs w:val="20"/>
              </w:rPr>
              <w:t xml:space="preserve">Additional criteria relating to digitalisation transactions: </w:t>
            </w:r>
            <w:r>
              <w:rPr>
                <w:rFonts w:ascii="Arial" w:hAnsi="Arial"/>
                <w:sz w:val="20"/>
                <w:szCs w:val="20"/>
              </w:rPr>
              <w:t>[</w:t>
            </w:r>
            <w:r w:rsidRPr="00E825C2">
              <w:rPr>
                <w:rFonts w:ascii="Arial" w:hAnsi="Arial"/>
                <w:i/>
                <w:sz w:val="20"/>
                <w:szCs w:val="20"/>
              </w:rPr>
              <w:t>to be further developed once first experiences from the digitalisation pilot und the COSME LGF are available]</w:t>
            </w:r>
          </w:p>
          <w:p w14:paraId="6F723771" w14:textId="77777777" w:rsidR="00284A08" w:rsidRDefault="00284A08" w:rsidP="00284A08">
            <w:pPr>
              <w:autoSpaceDE w:val="0"/>
              <w:autoSpaceDN w:val="0"/>
              <w:adjustRightInd w:val="0"/>
              <w:jc w:val="both"/>
              <w:rPr>
                <w:rFonts w:ascii="Arial" w:hAnsi="Arial"/>
                <w:sz w:val="20"/>
                <w:szCs w:val="20"/>
              </w:rPr>
            </w:pPr>
          </w:p>
          <w:p w14:paraId="0BC5E3BD" w14:textId="77777777" w:rsidR="00284A08" w:rsidRDefault="00284A08" w:rsidP="00284A08">
            <w:pPr>
              <w:autoSpaceDE w:val="0"/>
              <w:autoSpaceDN w:val="0"/>
              <w:adjustRightInd w:val="0"/>
              <w:jc w:val="both"/>
              <w:rPr>
                <w:rFonts w:ascii="Arial" w:hAnsi="Arial"/>
                <w:sz w:val="20"/>
                <w:szCs w:val="20"/>
              </w:rPr>
            </w:pPr>
          </w:p>
          <w:p w14:paraId="41BE7C89" w14:textId="77777777" w:rsidR="00284A08" w:rsidRPr="00766559" w:rsidRDefault="00284A08" w:rsidP="00284A08">
            <w:pPr>
              <w:pStyle w:val="ListParagraph"/>
              <w:numPr>
                <w:ilvl w:val="0"/>
                <w:numId w:val="13"/>
              </w:numPr>
              <w:autoSpaceDE w:val="0"/>
              <w:autoSpaceDN w:val="0"/>
              <w:adjustRightInd w:val="0"/>
              <w:jc w:val="both"/>
              <w:rPr>
                <w:rFonts w:ascii="Arial" w:hAnsi="Arial"/>
                <w:sz w:val="20"/>
                <w:szCs w:val="20"/>
              </w:rPr>
            </w:pPr>
            <w:r w:rsidRPr="003918E7">
              <w:rPr>
                <w:rFonts w:ascii="Arial" w:hAnsi="Arial"/>
                <w:sz w:val="20"/>
                <w:szCs w:val="20"/>
              </w:rPr>
              <w:t xml:space="preserve">Criteria relating to transactions in the cultural and creative sector: </w:t>
            </w:r>
            <w:r>
              <w:t xml:space="preserve"> </w:t>
            </w:r>
            <w:r w:rsidRPr="00766559">
              <w:rPr>
                <w:rFonts w:ascii="Arial" w:hAnsi="Arial"/>
                <w:sz w:val="20"/>
                <w:szCs w:val="20"/>
              </w:rPr>
              <w:t>Finan</w:t>
            </w:r>
            <w:r w:rsidR="0049252C" w:rsidRPr="00766559">
              <w:rPr>
                <w:rFonts w:ascii="Arial" w:hAnsi="Arial"/>
                <w:sz w:val="20"/>
                <w:szCs w:val="20"/>
              </w:rPr>
              <w:t>cing</w:t>
            </w:r>
            <w:r w:rsidRPr="00766559">
              <w:rPr>
                <w:rFonts w:ascii="Arial" w:hAnsi="Arial"/>
                <w:sz w:val="20"/>
                <w:szCs w:val="20"/>
              </w:rPr>
              <w:t xml:space="preserve"> should be available for s</w:t>
            </w:r>
            <w:r w:rsidRPr="00B24048">
              <w:rPr>
                <w:rFonts w:ascii="Arial" w:hAnsi="Arial"/>
                <w:sz w:val="20"/>
                <w:szCs w:val="20"/>
              </w:rPr>
              <w:t xml:space="preserve">mall and medium-sized enterprises (SMEs) or </w:t>
            </w:r>
            <w:r>
              <w:rPr>
                <w:rFonts w:ascii="Arial" w:hAnsi="Arial"/>
                <w:sz w:val="20"/>
                <w:szCs w:val="20"/>
              </w:rPr>
              <w:t xml:space="preserve">small </w:t>
            </w:r>
            <w:r w:rsidRPr="003918E7">
              <w:rPr>
                <w:rFonts w:ascii="Arial" w:hAnsi="Arial"/>
                <w:sz w:val="20"/>
                <w:szCs w:val="20"/>
              </w:rPr>
              <w:t>mid-cups</w:t>
            </w:r>
            <w:r w:rsidRPr="00B24048">
              <w:rPr>
                <w:rFonts w:ascii="Arial" w:hAnsi="Arial"/>
                <w:sz w:val="20"/>
                <w:szCs w:val="20"/>
              </w:rPr>
              <w:t xml:space="preserve"> in the cultural and creative sectors, </w:t>
            </w:r>
            <w:r w:rsidRPr="003918E7">
              <w:rPr>
                <w:rFonts w:ascii="Arial" w:hAnsi="Arial"/>
                <w:sz w:val="20"/>
                <w:szCs w:val="20"/>
              </w:rPr>
              <w:t>provided that they are</w:t>
            </w:r>
            <w:r>
              <w:rPr>
                <w:rFonts w:ascii="Arial" w:hAnsi="Arial"/>
                <w:sz w:val="20"/>
                <w:szCs w:val="20"/>
              </w:rPr>
              <w:t xml:space="preserve"> </w:t>
            </w:r>
            <w:r w:rsidRPr="00B24048">
              <w:rPr>
                <w:rFonts w:ascii="Arial" w:hAnsi="Arial"/>
                <w:sz w:val="20"/>
                <w:szCs w:val="20"/>
              </w:rPr>
              <w:t>involved in projects or activities based on cultural values and/or artistic and other creative expressions, either market or non-market-oriented, including the development, the creation, the production, the dissemination and the preservation of goods and services which embody cultural, artistic or other creative expressions, as well as related functions such as education or management. The cultural and creative sectors include architecture, archives, libraries and museums, artistic crafts, audiovisual (including film, television, video games and multimedia), tangible and intangible cultural heritage, design, festivals, music, literature, performing arts, publishing, radio and visual arts</w:t>
            </w:r>
            <w:r w:rsidRPr="00766559">
              <w:rPr>
                <w:rFonts w:ascii="Arial" w:hAnsi="Arial"/>
                <w:sz w:val="20"/>
                <w:szCs w:val="20"/>
              </w:rPr>
              <w:t>.</w:t>
            </w:r>
          </w:p>
          <w:p w14:paraId="43BC7A6C" w14:textId="77777777" w:rsidR="00284A08" w:rsidRPr="00766559" w:rsidRDefault="00284A08" w:rsidP="00284A08">
            <w:pPr>
              <w:pStyle w:val="ListParagraph"/>
              <w:autoSpaceDE w:val="0"/>
              <w:autoSpaceDN w:val="0"/>
              <w:adjustRightInd w:val="0"/>
              <w:jc w:val="both"/>
              <w:rPr>
                <w:rFonts w:ascii="Arial" w:hAnsi="Arial"/>
                <w:sz w:val="20"/>
                <w:szCs w:val="20"/>
              </w:rPr>
            </w:pPr>
          </w:p>
          <w:p w14:paraId="30B1553B" w14:textId="77777777" w:rsidR="00284A08" w:rsidRPr="00E825C2" w:rsidRDefault="00284A08" w:rsidP="00284A08">
            <w:pPr>
              <w:pStyle w:val="ListParagraph"/>
              <w:numPr>
                <w:ilvl w:val="0"/>
                <w:numId w:val="13"/>
              </w:numPr>
              <w:autoSpaceDE w:val="0"/>
              <w:autoSpaceDN w:val="0"/>
              <w:adjustRightInd w:val="0"/>
              <w:jc w:val="both"/>
              <w:rPr>
                <w:rFonts w:ascii="Arial" w:hAnsi="Arial"/>
                <w:sz w:val="20"/>
                <w:szCs w:val="20"/>
              </w:rPr>
            </w:pPr>
            <w:r w:rsidRPr="00E825C2">
              <w:rPr>
                <w:rFonts w:ascii="Arial" w:hAnsi="Arial" w:cs="Arial"/>
                <w:sz w:val="20"/>
                <w:szCs w:val="20"/>
              </w:rPr>
              <w:t>[</w:t>
            </w:r>
            <w:r w:rsidRPr="00E825C2">
              <w:rPr>
                <w:rFonts w:ascii="Arial" w:hAnsi="Arial"/>
                <w:sz w:val="20"/>
                <w:szCs w:val="20"/>
              </w:rPr>
              <w:t xml:space="preserve">Criteria relating to sustainability – to be developed] </w:t>
            </w:r>
          </w:p>
          <w:p w14:paraId="1E1F83AA" w14:textId="77777777" w:rsidR="00284A08" w:rsidRDefault="00284A08" w:rsidP="00284A08">
            <w:pPr>
              <w:autoSpaceDE w:val="0"/>
              <w:autoSpaceDN w:val="0"/>
              <w:adjustRightInd w:val="0"/>
              <w:jc w:val="both"/>
              <w:rPr>
                <w:rFonts w:ascii="Arial" w:hAnsi="Arial"/>
                <w:sz w:val="20"/>
                <w:szCs w:val="20"/>
              </w:rPr>
            </w:pPr>
          </w:p>
          <w:p w14:paraId="6BA2AF6D" w14:textId="77777777" w:rsidR="00284A08" w:rsidRDefault="00284A08" w:rsidP="00284A08">
            <w:pPr>
              <w:autoSpaceDE w:val="0"/>
              <w:autoSpaceDN w:val="0"/>
              <w:adjustRightInd w:val="0"/>
              <w:jc w:val="both"/>
              <w:rPr>
                <w:rFonts w:ascii="Arial" w:hAnsi="Arial"/>
                <w:sz w:val="20"/>
                <w:szCs w:val="20"/>
              </w:rPr>
            </w:pPr>
          </w:p>
          <w:p w14:paraId="5B30D6E4" w14:textId="77777777" w:rsidR="00284A08" w:rsidRDefault="00284A08" w:rsidP="00284A08">
            <w:pPr>
              <w:autoSpaceDE w:val="0"/>
              <w:autoSpaceDN w:val="0"/>
              <w:adjustRightInd w:val="0"/>
              <w:jc w:val="both"/>
              <w:rPr>
                <w:rFonts w:ascii="Arial" w:hAnsi="Arial"/>
                <w:sz w:val="20"/>
                <w:szCs w:val="20"/>
              </w:rPr>
            </w:pPr>
            <w:r>
              <w:rPr>
                <w:rFonts w:ascii="Arial" w:hAnsi="Arial"/>
                <w:sz w:val="20"/>
                <w:szCs w:val="20"/>
              </w:rPr>
              <w:t xml:space="preserve">Further product features: </w:t>
            </w:r>
          </w:p>
          <w:p w14:paraId="7BB0D10D" w14:textId="77777777" w:rsidR="00284A08" w:rsidRDefault="00284A08" w:rsidP="00284A08">
            <w:pPr>
              <w:pStyle w:val="ListParagraph"/>
              <w:numPr>
                <w:ilvl w:val="0"/>
                <w:numId w:val="12"/>
              </w:numPr>
              <w:ind w:left="425" w:hanging="284"/>
              <w:jc w:val="both"/>
              <w:rPr>
                <w:rFonts w:ascii="Arial" w:hAnsi="Arial"/>
                <w:sz w:val="20"/>
                <w:szCs w:val="20"/>
              </w:rPr>
            </w:pPr>
            <w:r w:rsidRPr="00E6584A">
              <w:rPr>
                <w:rFonts w:ascii="Arial" w:hAnsi="Arial"/>
                <w:sz w:val="20"/>
                <w:szCs w:val="20"/>
              </w:rPr>
              <w:t>The financial intermediary</w:t>
            </w:r>
            <w:r w:rsidR="004436EF" w:rsidRPr="003B322F">
              <w:rPr>
                <w:rFonts w:ascii="Arial" w:hAnsi="Arial"/>
                <w:sz w:val="20"/>
                <w:szCs w:val="20"/>
              </w:rPr>
              <w:t>/implementing partner in case of direct debt financing</w:t>
            </w:r>
            <w:r w:rsidRPr="00E6584A">
              <w:rPr>
                <w:rFonts w:ascii="Arial" w:hAnsi="Arial"/>
                <w:sz w:val="20"/>
                <w:szCs w:val="20"/>
              </w:rPr>
              <w:t xml:space="preserve"> shall be obliged to retain a minimum risk exposure of 20% of each financing transaction</w:t>
            </w:r>
            <w:r>
              <w:rPr>
                <w:rFonts w:ascii="Arial" w:hAnsi="Arial"/>
                <w:sz w:val="20"/>
                <w:szCs w:val="20"/>
              </w:rPr>
              <w:t xml:space="preserve"> for the purpose of alignment of interest</w:t>
            </w:r>
            <w:r w:rsidRPr="00E6584A">
              <w:rPr>
                <w:rFonts w:ascii="Arial" w:hAnsi="Arial"/>
                <w:sz w:val="20"/>
                <w:szCs w:val="20"/>
              </w:rPr>
              <w:t>.</w:t>
            </w:r>
          </w:p>
          <w:p w14:paraId="4950D2F6" w14:textId="77777777" w:rsidR="00284A08" w:rsidRDefault="00284A08" w:rsidP="00284A08">
            <w:pPr>
              <w:pStyle w:val="ListParagraph"/>
              <w:ind w:left="425"/>
              <w:jc w:val="both"/>
              <w:rPr>
                <w:rFonts w:ascii="Arial" w:hAnsi="Arial"/>
                <w:sz w:val="20"/>
                <w:szCs w:val="20"/>
              </w:rPr>
            </w:pPr>
          </w:p>
          <w:p w14:paraId="3CBA0F4B" w14:textId="77777777" w:rsidR="00284A08" w:rsidRDefault="00284A08" w:rsidP="00284A08">
            <w:pPr>
              <w:pStyle w:val="ListParagraph"/>
              <w:numPr>
                <w:ilvl w:val="0"/>
                <w:numId w:val="12"/>
              </w:numPr>
              <w:ind w:left="425" w:hanging="284"/>
              <w:jc w:val="both"/>
              <w:rPr>
                <w:rFonts w:ascii="Arial" w:hAnsi="Arial"/>
                <w:sz w:val="20"/>
                <w:szCs w:val="20"/>
              </w:rPr>
            </w:pPr>
            <w:r w:rsidRPr="00E6584A">
              <w:rPr>
                <w:rFonts w:ascii="Arial" w:hAnsi="Arial"/>
                <w:sz w:val="20"/>
                <w:szCs w:val="20"/>
              </w:rPr>
              <w:t xml:space="preserve">The </w:t>
            </w:r>
            <w:r>
              <w:rPr>
                <w:rFonts w:ascii="Arial" w:hAnsi="Arial"/>
                <w:sz w:val="20"/>
                <w:szCs w:val="20"/>
              </w:rPr>
              <w:t xml:space="preserve">financing transactions covered </w:t>
            </w:r>
            <w:r w:rsidRPr="00E6584A">
              <w:rPr>
                <w:rFonts w:ascii="Arial" w:hAnsi="Arial"/>
                <w:sz w:val="20"/>
                <w:szCs w:val="20"/>
              </w:rPr>
              <w:t xml:space="preserve">by the portfolio guarantee shall rank pari passu with the financial intermediary </w:t>
            </w:r>
            <w:r w:rsidR="003B322F">
              <w:rPr>
                <w:rFonts w:ascii="Arial" w:hAnsi="Arial"/>
                <w:sz w:val="20"/>
                <w:szCs w:val="20"/>
              </w:rPr>
              <w:t xml:space="preserve">or with the implementing partner in case of direct debt financing </w:t>
            </w:r>
            <w:r w:rsidRPr="00E6584A">
              <w:rPr>
                <w:rFonts w:ascii="Arial" w:hAnsi="Arial"/>
                <w:sz w:val="20"/>
                <w:szCs w:val="20"/>
              </w:rPr>
              <w:t>with regard to loss recoveries</w:t>
            </w:r>
            <w:r>
              <w:rPr>
                <w:rFonts w:ascii="Arial" w:hAnsi="Arial"/>
                <w:sz w:val="20"/>
                <w:szCs w:val="20"/>
              </w:rPr>
              <w:t xml:space="preserve"> provided that if an amount of the losses exceeds the guarantee cap amount a corresponding amount of loss recoveries may firstly be allocated to more senior exposures.</w:t>
            </w:r>
          </w:p>
          <w:p w14:paraId="48E9879D" w14:textId="77777777" w:rsidR="00284A08" w:rsidRPr="005C622C" w:rsidRDefault="00284A08" w:rsidP="00284A08">
            <w:pPr>
              <w:jc w:val="both"/>
              <w:rPr>
                <w:rFonts w:ascii="Arial" w:hAnsi="Arial"/>
                <w:sz w:val="20"/>
                <w:szCs w:val="20"/>
              </w:rPr>
            </w:pPr>
          </w:p>
          <w:p w14:paraId="420463EF" w14:textId="77777777" w:rsidR="00284A08" w:rsidRDefault="00284A08" w:rsidP="00284A08">
            <w:pPr>
              <w:pStyle w:val="ListParagraph"/>
              <w:numPr>
                <w:ilvl w:val="0"/>
                <w:numId w:val="12"/>
              </w:numPr>
              <w:ind w:left="425" w:hanging="284"/>
              <w:jc w:val="both"/>
              <w:rPr>
                <w:rFonts w:ascii="Arial" w:hAnsi="Arial"/>
                <w:sz w:val="20"/>
                <w:szCs w:val="20"/>
              </w:rPr>
            </w:pPr>
            <w:r>
              <w:rPr>
                <w:rFonts w:ascii="Arial" w:hAnsi="Arial"/>
                <w:sz w:val="20"/>
                <w:szCs w:val="20"/>
              </w:rPr>
              <w:t xml:space="preserve">Transactions eligible for inclusion into the portfolios: Working capital and investment financing, guarantees, subordinated financing, bank guarantees (such as performance and bid bonds, rental guarantees), leasing transactions, trade finance facilities, senior and subordinated debt issuance loans and convertible loans provided that the minimum </w:t>
            </w:r>
            <w:r w:rsidR="003B322F">
              <w:rPr>
                <w:rFonts w:ascii="Arial" w:hAnsi="Arial"/>
                <w:sz w:val="20"/>
                <w:szCs w:val="20"/>
              </w:rPr>
              <w:t xml:space="preserve">tenor </w:t>
            </w:r>
            <w:r>
              <w:rPr>
                <w:rFonts w:ascii="Arial" w:hAnsi="Arial"/>
                <w:sz w:val="20"/>
                <w:szCs w:val="20"/>
              </w:rPr>
              <w:t>of such transactions is 12 months.</w:t>
            </w:r>
          </w:p>
          <w:p w14:paraId="2091217C" w14:textId="27DB2C50" w:rsidR="00284A08" w:rsidRDefault="00284A08" w:rsidP="00284A08">
            <w:pPr>
              <w:autoSpaceDE w:val="0"/>
              <w:autoSpaceDN w:val="0"/>
              <w:adjustRightInd w:val="0"/>
              <w:jc w:val="both"/>
              <w:rPr>
                <w:rFonts w:ascii="Arial" w:hAnsi="Arial" w:cs="Arial"/>
                <w:sz w:val="20"/>
                <w:szCs w:val="20"/>
              </w:rPr>
            </w:pPr>
          </w:p>
        </w:tc>
      </w:tr>
      <w:tr w:rsidR="00284A08" w:rsidRPr="00360490" w14:paraId="165727D7" w14:textId="77777777" w:rsidTr="00284A08">
        <w:tc>
          <w:tcPr>
            <w:tcW w:w="803" w:type="dxa"/>
          </w:tcPr>
          <w:p w14:paraId="72949F4B" w14:textId="77777777" w:rsidR="00284A08" w:rsidRPr="00360490" w:rsidRDefault="00284A08" w:rsidP="00284A08">
            <w:pPr>
              <w:rPr>
                <w:rFonts w:ascii="Arial" w:hAnsi="Arial"/>
                <w:b/>
                <w:sz w:val="20"/>
                <w:szCs w:val="20"/>
              </w:rPr>
            </w:pPr>
            <w:r w:rsidRPr="00360490">
              <w:rPr>
                <w:rFonts w:ascii="Arial" w:hAnsi="Arial"/>
                <w:b/>
                <w:sz w:val="20"/>
                <w:szCs w:val="20"/>
              </w:rPr>
              <w:lastRenderedPageBreak/>
              <w:t>11.</w:t>
            </w:r>
          </w:p>
        </w:tc>
        <w:tc>
          <w:tcPr>
            <w:tcW w:w="2514" w:type="dxa"/>
          </w:tcPr>
          <w:p w14:paraId="4AB000BF" w14:textId="77777777" w:rsidR="00284A08" w:rsidRDefault="00284A08" w:rsidP="00284A08">
            <w:pPr>
              <w:rPr>
                <w:rFonts w:ascii="Arial" w:hAnsi="Arial"/>
                <w:b/>
                <w:sz w:val="20"/>
                <w:szCs w:val="20"/>
              </w:rPr>
            </w:pPr>
            <w:r>
              <w:rPr>
                <w:rFonts w:ascii="Arial" w:hAnsi="Arial"/>
                <w:b/>
                <w:sz w:val="20"/>
                <w:szCs w:val="20"/>
              </w:rPr>
              <w:t>Type of p</w:t>
            </w:r>
            <w:r w:rsidRPr="0064259A">
              <w:rPr>
                <w:rFonts w:ascii="Arial" w:hAnsi="Arial"/>
                <w:b/>
                <w:sz w:val="20"/>
                <w:szCs w:val="20"/>
              </w:rPr>
              <w:t xml:space="preserve">roduct </w:t>
            </w:r>
            <w:r>
              <w:rPr>
                <w:rFonts w:ascii="Arial" w:hAnsi="Arial"/>
                <w:b/>
                <w:sz w:val="20"/>
                <w:szCs w:val="20"/>
              </w:rPr>
              <w:t>p</w:t>
            </w:r>
            <w:r w:rsidRPr="0064259A">
              <w:rPr>
                <w:rFonts w:ascii="Arial" w:hAnsi="Arial"/>
                <w:b/>
                <w:sz w:val="20"/>
                <w:szCs w:val="20"/>
              </w:rPr>
              <w:t>rovided</w:t>
            </w:r>
            <w:r>
              <w:rPr>
                <w:rFonts w:ascii="Arial" w:hAnsi="Arial"/>
                <w:b/>
                <w:sz w:val="20"/>
                <w:szCs w:val="20"/>
              </w:rPr>
              <w:t xml:space="preserve"> by the Implementing Partner</w:t>
            </w:r>
            <w:r w:rsidRPr="0064259A">
              <w:rPr>
                <w:rFonts w:ascii="Arial" w:hAnsi="Arial"/>
                <w:b/>
                <w:sz w:val="20"/>
                <w:szCs w:val="20"/>
              </w:rPr>
              <w:t xml:space="preserve"> to Final Recipient</w:t>
            </w:r>
            <w:r>
              <w:rPr>
                <w:rFonts w:ascii="Arial" w:hAnsi="Arial"/>
                <w:b/>
                <w:sz w:val="20"/>
                <w:szCs w:val="20"/>
              </w:rPr>
              <w:t>s (direct financing)</w:t>
            </w:r>
          </w:p>
          <w:p w14:paraId="5D198D01" w14:textId="77777777" w:rsidR="00284A08" w:rsidRPr="00360490" w:rsidRDefault="00284A08" w:rsidP="00284A08">
            <w:pPr>
              <w:rPr>
                <w:rFonts w:ascii="Arial" w:hAnsi="Arial"/>
                <w:b/>
                <w:sz w:val="20"/>
                <w:szCs w:val="20"/>
              </w:rPr>
            </w:pPr>
            <w:r w:rsidRPr="0064259A">
              <w:rPr>
                <w:rFonts w:ascii="Arial" w:hAnsi="Arial"/>
                <w:i/>
                <w:sz w:val="20"/>
                <w:szCs w:val="20"/>
              </w:rPr>
              <w:t>(if applicable)</w:t>
            </w:r>
          </w:p>
        </w:tc>
        <w:tc>
          <w:tcPr>
            <w:tcW w:w="7247" w:type="dxa"/>
          </w:tcPr>
          <w:p w14:paraId="3843559A" w14:textId="77777777" w:rsidR="00284A08" w:rsidRPr="00360490" w:rsidRDefault="00687765" w:rsidP="00284A08">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1470897318"/>
                <w14:checkbox>
                  <w14:checked w14:val="1"/>
                  <w14:checkedState w14:val="2612" w14:font="MS Gothic"/>
                  <w14:uncheckedState w14:val="2610" w14:font="MS Gothic"/>
                </w14:checkbox>
              </w:sdtPr>
              <w:sdtEndPr/>
              <w:sdtContent>
                <w:r w:rsidR="003B322F">
                  <w:rPr>
                    <w:rFonts w:ascii="MS Gothic" w:eastAsia="MS Gothic" w:hAnsi="MS Gothic" w:cs="Arial" w:hint="eastAsia"/>
                    <w:sz w:val="20"/>
                    <w:szCs w:val="20"/>
                  </w:rPr>
                  <w:t>☒</w:t>
                </w:r>
              </w:sdtContent>
            </w:sdt>
            <w:r w:rsidR="00284A08">
              <w:rPr>
                <w:rFonts w:ascii="Arial" w:hAnsi="Arial" w:cs="Arial"/>
                <w:sz w:val="20"/>
                <w:szCs w:val="20"/>
              </w:rPr>
              <w:t>Loan</w:t>
            </w:r>
            <w:r w:rsidR="00284A08" w:rsidRPr="00360490">
              <w:rPr>
                <w:rFonts w:ascii="Arial" w:hAnsi="Arial" w:cs="Arial"/>
                <w:sz w:val="20"/>
                <w:szCs w:val="20"/>
              </w:rPr>
              <w:t xml:space="preserve">                                </w:t>
            </w:r>
          </w:p>
          <w:p w14:paraId="0A37C08D" w14:textId="77777777" w:rsidR="00284A08" w:rsidRPr="00360490" w:rsidRDefault="00687765" w:rsidP="00284A08">
            <w:pPr>
              <w:autoSpaceDE w:val="0"/>
              <w:autoSpaceDN w:val="0"/>
              <w:adjustRightInd w:val="0"/>
              <w:jc w:val="both"/>
              <w:rPr>
                <w:rFonts w:ascii="Arial" w:hAnsi="Arial" w:cs="Arial"/>
                <w:sz w:val="20"/>
                <w:szCs w:val="20"/>
              </w:rPr>
            </w:pPr>
            <w:sdt>
              <w:sdtPr>
                <w:rPr>
                  <w:rFonts w:ascii="Arial" w:hAnsi="Arial" w:cs="Arial"/>
                  <w:sz w:val="20"/>
                  <w:szCs w:val="20"/>
                </w:rPr>
                <w:id w:val="1465152861"/>
                <w14:checkbox>
                  <w14:checked w14:val="0"/>
                  <w14:checkedState w14:val="2612" w14:font="MS Gothic"/>
                  <w14:uncheckedState w14:val="2610" w14:font="MS Gothic"/>
                </w14:checkbox>
              </w:sdtPr>
              <w:sdtEndPr/>
              <w:sdtContent>
                <w:r w:rsidR="00284A08" w:rsidRPr="00360490">
                  <w:rPr>
                    <w:rFonts w:ascii="MS Gothic" w:eastAsia="MS Gothic" w:hAnsi="MS Gothic" w:cs="Arial" w:hint="eastAsia"/>
                    <w:sz w:val="20"/>
                    <w:szCs w:val="20"/>
                  </w:rPr>
                  <w:t>☐</w:t>
                </w:r>
              </w:sdtContent>
            </w:sdt>
            <w:r w:rsidR="00284A08" w:rsidRPr="00360490">
              <w:rPr>
                <w:rFonts w:ascii="Arial" w:hAnsi="Arial" w:cs="Arial"/>
                <w:sz w:val="20"/>
                <w:szCs w:val="20"/>
              </w:rPr>
              <w:t>Equity</w:t>
            </w:r>
            <w:r w:rsidR="00197797">
              <w:rPr>
                <w:rFonts w:ascii="Arial" w:hAnsi="Arial" w:cs="Arial"/>
                <w:sz w:val="20"/>
                <w:szCs w:val="20"/>
              </w:rPr>
              <w:t xml:space="preserve"> and quasi-equity (plese specify)</w:t>
            </w:r>
          </w:p>
          <w:p w14:paraId="17E29F44" w14:textId="77777777" w:rsidR="00284A08" w:rsidRDefault="00687765" w:rsidP="00284A08">
            <w:pPr>
              <w:tabs>
                <w:tab w:val="left" w:pos="3330"/>
              </w:tabs>
              <w:autoSpaceDE w:val="0"/>
              <w:autoSpaceDN w:val="0"/>
              <w:adjustRightInd w:val="0"/>
              <w:jc w:val="both"/>
              <w:rPr>
                <w:rFonts w:ascii="Arial" w:hAnsi="Arial" w:cs="Arial"/>
                <w:sz w:val="20"/>
                <w:szCs w:val="20"/>
              </w:rPr>
            </w:pPr>
            <w:sdt>
              <w:sdtPr>
                <w:rPr>
                  <w:rFonts w:ascii="Arial" w:hAnsi="Arial" w:cs="Arial"/>
                  <w:sz w:val="20"/>
                  <w:szCs w:val="20"/>
                </w:rPr>
                <w:id w:val="-31662493"/>
                <w14:checkbox>
                  <w14:checked w14:val="1"/>
                  <w14:checkedState w14:val="2612" w14:font="MS Gothic"/>
                  <w14:uncheckedState w14:val="2610" w14:font="MS Gothic"/>
                </w14:checkbox>
              </w:sdtPr>
              <w:sdtEndPr/>
              <w:sdtContent>
                <w:r w:rsidR="003B322F">
                  <w:rPr>
                    <w:rFonts w:ascii="MS Gothic" w:eastAsia="MS Gothic" w:hAnsi="MS Gothic" w:cs="Arial" w:hint="eastAsia"/>
                    <w:sz w:val="20"/>
                    <w:szCs w:val="20"/>
                  </w:rPr>
                  <w:t>☒</w:t>
                </w:r>
              </w:sdtContent>
            </w:sdt>
            <w:r w:rsidR="00284A08" w:rsidRPr="00360490">
              <w:rPr>
                <w:rFonts w:ascii="Arial" w:hAnsi="Arial" w:cs="Arial"/>
                <w:sz w:val="20"/>
                <w:szCs w:val="20"/>
              </w:rPr>
              <w:t xml:space="preserve">Other </w:t>
            </w:r>
            <w:r w:rsidR="00284A08">
              <w:rPr>
                <w:rFonts w:ascii="Arial" w:hAnsi="Arial" w:cs="Arial"/>
                <w:sz w:val="20"/>
                <w:szCs w:val="20"/>
              </w:rPr>
              <w:t xml:space="preserve">: </w:t>
            </w:r>
            <w:r w:rsidR="003B322F">
              <w:rPr>
                <w:rFonts w:ascii="Arial" w:hAnsi="Arial" w:cs="Arial"/>
                <w:sz w:val="20"/>
                <w:szCs w:val="20"/>
              </w:rPr>
              <w:t xml:space="preserve"> leases, working capital facilities, subordinated loans, etc.</w:t>
            </w:r>
          </w:p>
          <w:p w14:paraId="6C04B676" w14:textId="77777777" w:rsidR="00197797" w:rsidRDefault="00197797" w:rsidP="00284A08">
            <w:pPr>
              <w:tabs>
                <w:tab w:val="left" w:pos="3330"/>
              </w:tabs>
              <w:autoSpaceDE w:val="0"/>
              <w:autoSpaceDN w:val="0"/>
              <w:adjustRightInd w:val="0"/>
              <w:jc w:val="both"/>
              <w:rPr>
                <w:rFonts w:ascii="Arial" w:hAnsi="Arial" w:cs="Arial"/>
                <w:sz w:val="20"/>
                <w:szCs w:val="20"/>
              </w:rPr>
            </w:pPr>
          </w:p>
          <w:p w14:paraId="0BD8C701" w14:textId="77777777" w:rsidR="00284A08" w:rsidRPr="00360490" w:rsidRDefault="003B322F" w:rsidP="003B322F">
            <w:pPr>
              <w:tabs>
                <w:tab w:val="left" w:pos="3330"/>
              </w:tabs>
              <w:autoSpaceDE w:val="0"/>
              <w:autoSpaceDN w:val="0"/>
              <w:adjustRightInd w:val="0"/>
              <w:jc w:val="both"/>
              <w:rPr>
                <w:rFonts w:ascii="Arial" w:hAnsi="Arial" w:cs="Arial"/>
                <w:i/>
                <w:sz w:val="20"/>
                <w:szCs w:val="20"/>
              </w:rPr>
            </w:pPr>
            <w:r>
              <w:rPr>
                <w:rFonts w:ascii="Arial" w:hAnsi="Arial" w:cs="Arial"/>
                <w:sz w:val="20"/>
                <w:szCs w:val="20"/>
              </w:rPr>
              <w:t xml:space="preserve"> Please see conditions in section 10.</w:t>
            </w:r>
          </w:p>
        </w:tc>
      </w:tr>
      <w:tr w:rsidR="00284A08" w:rsidRPr="00360490" w14:paraId="24CD89FD" w14:textId="77777777" w:rsidTr="00284A08">
        <w:tc>
          <w:tcPr>
            <w:tcW w:w="803" w:type="dxa"/>
          </w:tcPr>
          <w:p w14:paraId="28A0189B" w14:textId="77777777" w:rsidR="00284A08" w:rsidRPr="00360490" w:rsidRDefault="00284A08" w:rsidP="00284A08">
            <w:pPr>
              <w:rPr>
                <w:rFonts w:ascii="Arial" w:hAnsi="Arial"/>
                <w:b/>
                <w:sz w:val="20"/>
                <w:szCs w:val="20"/>
              </w:rPr>
            </w:pPr>
            <w:r w:rsidRPr="00360490">
              <w:rPr>
                <w:rFonts w:ascii="Arial" w:hAnsi="Arial"/>
                <w:b/>
                <w:sz w:val="20"/>
                <w:szCs w:val="20"/>
              </w:rPr>
              <w:t>12.</w:t>
            </w:r>
          </w:p>
        </w:tc>
        <w:tc>
          <w:tcPr>
            <w:tcW w:w="2514" w:type="dxa"/>
          </w:tcPr>
          <w:p w14:paraId="20DCC050" w14:textId="77777777" w:rsidR="00284A08" w:rsidRPr="00360490" w:rsidRDefault="00284A08" w:rsidP="00284A08">
            <w:pPr>
              <w:rPr>
                <w:rFonts w:ascii="Arial" w:hAnsi="Arial"/>
                <w:b/>
                <w:sz w:val="20"/>
                <w:szCs w:val="20"/>
              </w:rPr>
            </w:pPr>
            <w:r w:rsidRPr="00360490">
              <w:rPr>
                <w:rFonts w:ascii="Arial" w:hAnsi="Arial"/>
                <w:b/>
                <w:sz w:val="20"/>
                <w:szCs w:val="20"/>
              </w:rPr>
              <w:t>Amounts / maturity per final recipients</w:t>
            </w:r>
          </w:p>
        </w:tc>
        <w:tc>
          <w:tcPr>
            <w:tcW w:w="7247" w:type="dxa"/>
          </w:tcPr>
          <w:p w14:paraId="4FCA73E9" w14:textId="77777777" w:rsidR="00284A08" w:rsidRPr="00B03620" w:rsidRDefault="00284A08" w:rsidP="00284A08">
            <w:pPr>
              <w:tabs>
                <w:tab w:val="left" w:pos="3330"/>
              </w:tabs>
              <w:autoSpaceDE w:val="0"/>
              <w:autoSpaceDN w:val="0"/>
              <w:adjustRightInd w:val="0"/>
              <w:jc w:val="both"/>
              <w:rPr>
                <w:rFonts w:ascii="Arial" w:hAnsi="Arial" w:cs="Arial"/>
                <w:sz w:val="20"/>
                <w:szCs w:val="20"/>
              </w:rPr>
            </w:pPr>
            <w:r>
              <w:rPr>
                <w:rFonts w:ascii="Arial" w:hAnsi="Arial" w:cs="Arial"/>
                <w:sz w:val="20"/>
                <w:szCs w:val="20"/>
              </w:rPr>
              <w:t>[under development – max € 5 – 7.5 million, alignment with GBER envisaged to simplify State Aid application]</w:t>
            </w:r>
          </w:p>
        </w:tc>
      </w:tr>
      <w:tr w:rsidR="00284A08" w:rsidRPr="00360490" w14:paraId="7253B477" w14:textId="77777777" w:rsidTr="00284A08">
        <w:tc>
          <w:tcPr>
            <w:tcW w:w="803" w:type="dxa"/>
          </w:tcPr>
          <w:p w14:paraId="7C33684D" w14:textId="77777777" w:rsidR="00284A08" w:rsidRPr="00360490" w:rsidRDefault="00284A08" w:rsidP="00284A08">
            <w:pPr>
              <w:jc w:val="both"/>
              <w:rPr>
                <w:rFonts w:ascii="Arial" w:hAnsi="Arial"/>
                <w:b/>
                <w:sz w:val="20"/>
                <w:szCs w:val="20"/>
              </w:rPr>
            </w:pPr>
            <w:r w:rsidRPr="00360490">
              <w:rPr>
                <w:rFonts w:ascii="Arial" w:hAnsi="Arial"/>
                <w:b/>
                <w:sz w:val="20"/>
                <w:szCs w:val="20"/>
              </w:rPr>
              <w:t>13.</w:t>
            </w:r>
          </w:p>
        </w:tc>
        <w:tc>
          <w:tcPr>
            <w:tcW w:w="2514" w:type="dxa"/>
          </w:tcPr>
          <w:p w14:paraId="5B35576B" w14:textId="77777777" w:rsidR="00284A08" w:rsidRPr="00360490" w:rsidRDefault="00284A08" w:rsidP="00284A08">
            <w:pPr>
              <w:jc w:val="both"/>
              <w:rPr>
                <w:rFonts w:ascii="Arial" w:hAnsi="Arial"/>
                <w:b/>
                <w:sz w:val="20"/>
                <w:szCs w:val="20"/>
              </w:rPr>
            </w:pPr>
            <w:r w:rsidRPr="00360490">
              <w:rPr>
                <w:rFonts w:ascii="Arial" w:hAnsi="Arial"/>
                <w:b/>
                <w:sz w:val="20"/>
                <w:szCs w:val="20"/>
              </w:rPr>
              <w:t>Blending</w:t>
            </w:r>
          </w:p>
        </w:tc>
        <w:tc>
          <w:tcPr>
            <w:tcW w:w="7247" w:type="dxa"/>
          </w:tcPr>
          <w:p w14:paraId="2867910B" w14:textId="77777777" w:rsidR="00284A08" w:rsidRPr="008D49CD" w:rsidRDefault="00687765" w:rsidP="00284A08">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14389318"/>
                <w14:checkbox>
                  <w14:checked w14:val="0"/>
                  <w14:checkedState w14:val="2612" w14:font="MS Gothic"/>
                  <w14:uncheckedState w14:val="2610" w14:font="MS Gothic"/>
                </w14:checkbox>
              </w:sdtPr>
              <w:sdtEndPr/>
              <w:sdtContent>
                <w:r w:rsidR="00284A08" w:rsidRPr="008D49CD">
                  <w:rPr>
                    <w:rFonts w:ascii="MS Gothic" w:eastAsia="MS Gothic" w:hAnsi="MS Gothic" w:cs="Arial" w:hint="eastAsia"/>
                    <w:sz w:val="20"/>
                    <w:szCs w:val="20"/>
                  </w:rPr>
                  <w:t>☐</w:t>
                </w:r>
              </w:sdtContent>
            </w:sdt>
            <w:r w:rsidR="00284A08" w:rsidRPr="008D49CD">
              <w:rPr>
                <w:rFonts w:ascii="Arial" w:hAnsi="Arial" w:cs="Arial"/>
                <w:sz w:val="20"/>
                <w:szCs w:val="20"/>
              </w:rPr>
              <w:t>Yes</w:t>
            </w:r>
          </w:p>
          <w:p w14:paraId="28341F6D" w14:textId="77777777" w:rsidR="00284A08" w:rsidRPr="008D49CD" w:rsidRDefault="00687765" w:rsidP="00284A08">
            <w:pPr>
              <w:tabs>
                <w:tab w:val="left" w:pos="3330"/>
              </w:tabs>
              <w:autoSpaceDE w:val="0"/>
              <w:autoSpaceDN w:val="0"/>
              <w:adjustRightInd w:val="0"/>
              <w:jc w:val="both"/>
              <w:rPr>
                <w:rFonts w:ascii="Arial" w:hAnsi="Arial" w:cs="Arial"/>
                <w:sz w:val="20"/>
                <w:szCs w:val="20"/>
              </w:rPr>
            </w:pPr>
            <w:sdt>
              <w:sdtPr>
                <w:rPr>
                  <w:rFonts w:ascii="Arial" w:hAnsi="Arial" w:cs="Arial"/>
                  <w:sz w:val="20"/>
                  <w:szCs w:val="20"/>
                </w:rPr>
                <w:id w:val="1083875044"/>
                <w14:checkbox>
                  <w14:checked w14:val="1"/>
                  <w14:checkedState w14:val="2612" w14:font="MS Gothic"/>
                  <w14:uncheckedState w14:val="2610" w14:font="MS Gothic"/>
                </w14:checkbox>
              </w:sdtPr>
              <w:sdtEndPr/>
              <w:sdtContent>
                <w:r w:rsidR="00284A08" w:rsidRPr="008D49CD">
                  <w:rPr>
                    <w:rFonts w:ascii="MS Gothic" w:eastAsia="MS Gothic" w:hAnsi="MS Gothic" w:cs="Arial" w:hint="eastAsia"/>
                    <w:sz w:val="20"/>
                    <w:szCs w:val="20"/>
                  </w:rPr>
                  <w:t>☒</w:t>
                </w:r>
              </w:sdtContent>
            </w:sdt>
            <w:r w:rsidR="00284A08" w:rsidRPr="008D49CD">
              <w:rPr>
                <w:rFonts w:ascii="Arial" w:hAnsi="Arial" w:cs="Arial"/>
                <w:sz w:val="20"/>
                <w:szCs w:val="20"/>
              </w:rPr>
              <w:t xml:space="preserve">No </w:t>
            </w:r>
          </w:p>
          <w:p w14:paraId="72A65690" w14:textId="77777777" w:rsidR="00284A08" w:rsidRPr="008D49CD" w:rsidRDefault="00284A08" w:rsidP="00284A08">
            <w:pPr>
              <w:tabs>
                <w:tab w:val="left" w:pos="3330"/>
              </w:tabs>
              <w:autoSpaceDE w:val="0"/>
              <w:autoSpaceDN w:val="0"/>
              <w:adjustRightInd w:val="0"/>
              <w:jc w:val="both"/>
              <w:rPr>
                <w:rFonts w:ascii="Arial" w:hAnsi="Arial" w:cs="Arial"/>
                <w:i/>
                <w:sz w:val="20"/>
                <w:szCs w:val="20"/>
              </w:rPr>
            </w:pPr>
          </w:p>
        </w:tc>
      </w:tr>
      <w:tr w:rsidR="00284A08" w:rsidRPr="00360490" w14:paraId="4B911640" w14:textId="77777777" w:rsidTr="00284A08">
        <w:tc>
          <w:tcPr>
            <w:tcW w:w="803" w:type="dxa"/>
            <w:shd w:val="clear" w:color="auto" w:fill="auto"/>
          </w:tcPr>
          <w:p w14:paraId="103F37A3" w14:textId="77777777" w:rsidR="00284A08" w:rsidRPr="00360490" w:rsidRDefault="00284A08" w:rsidP="00284A08">
            <w:pPr>
              <w:jc w:val="both"/>
              <w:rPr>
                <w:rFonts w:ascii="Arial" w:hAnsi="Arial"/>
                <w:b/>
                <w:sz w:val="20"/>
                <w:szCs w:val="20"/>
              </w:rPr>
            </w:pPr>
            <w:r w:rsidRPr="00360490">
              <w:rPr>
                <w:rFonts w:ascii="Arial" w:hAnsi="Arial"/>
                <w:b/>
                <w:sz w:val="20"/>
                <w:szCs w:val="20"/>
              </w:rPr>
              <w:t>14.</w:t>
            </w:r>
          </w:p>
        </w:tc>
        <w:tc>
          <w:tcPr>
            <w:tcW w:w="2514" w:type="dxa"/>
            <w:shd w:val="clear" w:color="auto" w:fill="auto"/>
          </w:tcPr>
          <w:p w14:paraId="64462C2C" w14:textId="77777777" w:rsidR="00284A08" w:rsidRDefault="00284A08" w:rsidP="00284A08">
            <w:pPr>
              <w:jc w:val="both"/>
              <w:rPr>
                <w:rFonts w:ascii="Arial" w:hAnsi="Arial"/>
                <w:b/>
                <w:sz w:val="20"/>
                <w:szCs w:val="20"/>
              </w:rPr>
            </w:pPr>
            <w:r w:rsidRPr="00360490">
              <w:rPr>
                <w:rFonts w:ascii="Arial" w:hAnsi="Arial"/>
                <w:b/>
                <w:sz w:val="20"/>
                <w:szCs w:val="20"/>
              </w:rPr>
              <w:t>Size of the Product</w:t>
            </w:r>
          </w:p>
          <w:p w14:paraId="73198A85" w14:textId="77777777" w:rsidR="00284A08" w:rsidRDefault="00284A08" w:rsidP="00284A08">
            <w:pPr>
              <w:jc w:val="both"/>
              <w:rPr>
                <w:rFonts w:ascii="Arial" w:hAnsi="Arial"/>
                <w:b/>
                <w:sz w:val="20"/>
                <w:szCs w:val="20"/>
              </w:rPr>
            </w:pPr>
          </w:p>
          <w:p w14:paraId="35E3F7CB" w14:textId="77777777" w:rsidR="00284A08" w:rsidRPr="00360490" w:rsidRDefault="00284A08" w:rsidP="00284A08">
            <w:pPr>
              <w:jc w:val="both"/>
              <w:rPr>
                <w:rFonts w:ascii="Arial" w:hAnsi="Arial"/>
                <w:b/>
                <w:sz w:val="20"/>
                <w:szCs w:val="20"/>
              </w:rPr>
            </w:pPr>
          </w:p>
        </w:tc>
        <w:tc>
          <w:tcPr>
            <w:tcW w:w="7247" w:type="dxa"/>
            <w:shd w:val="clear" w:color="auto" w:fill="auto"/>
          </w:tcPr>
          <w:p w14:paraId="05A5FABF" w14:textId="77777777" w:rsidR="00284A08" w:rsidRPr="008D49CD" w:rsidDel="00A970EE" w:rsidRDefault="003B322F" w:rsidP="003B322F">
            <w:pPr>
              <w:jc w:val="both"/>
              <w:rPr>
                <w:rFonts w:ascii="Arial" w:hAnsi="Arial" w:cs="Arial"/>
                <w:sz w:val="20"/>
                <w:szCs w:val="20"/>
              </w:rPr>
            </w:pPr>
            <w:r>
              <w:rPr>
                <w:rFonts w:ascii="Arial" w:hAnsi="Arial"/>
                <w:sz w:val="20"/>
                <w:szCs w:val="20"/>
              </w:rPr>
              <w:t xml:space="preserve"> </w:t>
            </w:r>
            <w:r w:rsidRPr="003B322F">
              <w:rPr>
                <w:rFonts w:ascii="Arial" w:hAnsi="Arial"/>
                <w:i/>
                <w:sz w:val="20"/>
                <w:szCs w:val="20"/>
              </w:rPr>
              <w:t>(to be discussed)</w:t>
            </w:r>
          </w:p>
        </w:tc>
      </w:tr>
      <w:tr w:rsidR="00284A08" w:rsidRPr="00360490" w14:paraId="7DCA8E79" w14:textId="77777777" w:rsidTr="00284A08">
        <w:tc>
          <w:tcPr>
            <w:tcW w:w="803" w:type="dxa"/>
            <w:shd w:val="clear" w:color="auto" w:fill="FFFFFF" w:themeFill="background1"/>
          </w:tcPr>
          <w:p w14:paraId="180F7D2E" w14:textId="77777777" w:rsidR="00284A08" w:rsidRPr="00CF7E7E" w:rsidRDefault="00284A08" w:rsidP="00284A08">
            <w:pPr>
              <w:jc w:val="both"/>
              <w:rPr>
                <w:rFonts w:ascii="Arial" w:hAnsi="Arial"/>
                <w:b/>
                <w:sz w:val="20"/>
                <w:szCs w:val="20"/>
              </w:rPr>
            </w:pPr>
            <w:r w:rsidRPr="00CF7E7E">
              <w:rPr>
                <w:rFonts w:ascii="Arial" w:hAnsi="Arial"/>
                <w:b/>
                <w:sz w:val="20"/>
                <w:szCs w:val="20"/>
              </w:rPr>
              <w:t>15.</w:t>
            </w:r>
          </w:p>
        </w:tc>
        <w:tc>
          <w:tcPr>
            <w:tcW w:w="2514" w:type="dxa"/>
            <w:shd w:val="clear" w:color="auto" w:fill="FFFFFF" w:themeFill="background1"/>
          </w:tcPr>
          <w:p w14:paraId="2541FEB7" w14:textId="77777777" w:rsidR="00284A08" w:rsidRPr="00CF7E7E" w:rsidRDefault="00284A08" w:rsidP="00284A08">
            <w:pPr>
              <w:jc w:val="both"/>
              <w:rPr>
                <w:rFonts w:ascii="Arial" w:hAnsi="Arial"/>
                <w:i/>
                <w:sz w:val="20"/>
                <w:szCs w:val="20"/>
              </w:rPr>
            </w:pPr>
            <w:r w:rsidRPr="00CF7E7E">
              <w:rPr>
                <w:rFonts w:ascii="Arial" w:hAnsi="Arial"/>
                <w:b/>
                <w:sz w:val="20"/>
                <w:szCs w:val="20"/>
              </w:rPr>
              <w:t>Pricing (only relevant for debt/guarantee products)</w:t>
            </w:r>
          </w:p>
        </w:tc>
        <w:tc>
          <w:tcPr>
            <w:tcW w:w="7247" w:type="dxa"/>
            <w:shd w:val="clear" w:color="auto" w:fill="FFFFFF" w:themeFill="background1"/>
          </w:tcPr>
          <w:p w14:paraId="6FD58460" w14:textId="1B140B8C" w:rsidR="00284A08" w:rsidRPr="002169EC" w:rsidRDefault="00687765" w:rsidP="00284A08">
            <w:pPr>
              <w:tabs>
                <w:tab w:val="left" w:pos="915"/>
              </w:tabs>
              <w:autoSpaceDE w:val="0"/>
              <w:autoSpaceDN w:val="0"/>
              <w:adjustRightInd w:val="0"/>
              <w:jc w:val="both"/>
              <w:rPr>
                <w:rFonts w:ascii="Arial" w:hAnsi="Arial"/>
                <w:sz w:val="20"/>
                <w:szCs w:val="20"/>
              </w:rPr>
            </w:pPr>
            <w:sdt>
              <w:sdtPr>
                <w:rPr>
                  <w:rFonts w:ascii="Arial" w:hAnsi="Arial" w:cs="Arial"/>
                  <w:sz w:val="20"/>
                  <w:szCs w:val="20"/>
                </w:rPr>
                <w:id w:val="20908143"/>
                <w14:checkbox>
                  <w14:checked w14:val="1"/>
                  <w14:checkedState w14:val="2612" w14:font="MS Gothic"/>
                  <w14:uncheckedState w14:val="2610" w14:font="MS Gothic"/>
                </w14:checkbox>
              </w:sdtPr>
              <w:sdtEndPr/>
              <w:sdtContent>
                <w:r w:rsidR="00284A08">
                  <w:rPr>
                    <w:rFonts w:ascii="MS Gothic" w:eastAsia="MS Gothic" w:hAnsi="MS Gothic" w:cs="Arial" w:hint="eastAsia"/>
                    <w:sz w:val="20"/>
                    <w:szCs w:val="20"/>
                  </w:rPr>
                  <w:t>☒</w:t>
                </w:r>
              </w:sdtContent>
            </w:sdt>
            <w:r w:rsidR="00284A08" w:rsidRPr="00CF7E7E">
              <w:rPr>
                <w:rFonts w:ascii="Arial" w:hAnsi="Arial"/>
                <w:sz w:val="20"/>
                <w:szCs w:val="20"/>
              </w:rPr>
              <w:t>Free of charge</w:t>
            </w:r>
            <w:r w:rsidR="00284A08">
              <w:rPr>
                <w:rFonts w:ascii="Arial" w:hAnsi="Arial"/>
                <w:sz w:val="20"/>
                <w:szCs w:val="20"/>
              </w:rPr>
              <w:t xml:space="preserve"> – no risk pricing for capped guarantees</w:t>
            </w:r>
            <w:r w:rsidR="00766559">
              <w:rPr>
                <w:rFonts w:ascii="Arial" w:hAnsi="Arial"/>
                <w:sz w:val="20"/>
                <w:szCs w:val="20"/>
              </w:rPr>
              <w:t xml:space="preserve"> </w:t>
            </w:r>
            <w:r w:rsidR="00766559" w:rsidRPr="002169EC">
              <w:rPr>
                <w:rFonts w:ascii="Arial" w:hAnsi="Arial"/>
                <w:sz w:val="20"/>
                <w:szCs w:val="20"/>
              </w:rPr>
              <w:t>(administrative charge to be applied for each transaction)</w:t>
            </w:r>
          </w:p>
          <w:p w14:paraId="6D44452B" w14:textId="77777777" w:rsidR="00284A08" w:rsidRPr="00CF7E7E" w:rsidRDefault="00687765" w:rsidP="00284A08">
            <w:pPr>
              <w:tabs>
                <w:tab w:val="left" w:pos="915"/>
              </w:tabs>
              <w:autoSpaceDE w:val="0"/>
              <w:autoSpaceDN w:val="0"/>
              <w:adjustRightInd w:val="0"/>
              <w:jc w:val="both"/>
              <w:rPr>
                <w:rFonts w:ascii="Arial" w:hAnsi="Arial" w:cs="Arial"/>
                <w:sz w:val="20"/>
                <w:szCs w:val="20"/>
              </w:rPr>
            </w:pPr>
            <w:sdt>
              <w:sdtPr>
                <w:rPr>
                  <w:rFonts w:ascii="Arial" w:hAnsi="Arial" w:cs="Arial"/>
                  <w:sz w:val="20"/>
                  <w:szCs w:val="20"/>
                </w:rPr>
                <w:id w:val="-955866965"/>
                <w14:checkbox>
                  <w14:checked w14:val="1"/>
                  <w14:checkedState w14:val="2612" w14:font="MS Gothic"/>
                  <w14:uncheckedState w14:val="2610" w14:font="MS Gothic"/>
                </w14:checkbox>
              </w:sdtPr>
              <w:sdtEndPr/>
              <w:sdtContent>
                <w:r w:rsidR="00284A08" w:rsidRPr="00CF7E7E">
                  <w:rPr>
                    <w:rFonts w:ascii="MS Gothic" w:eastAsia="MS Gothic" w:hAnsi="MS Gothic" w:cs="Arial" w:hint="eastAsia"/>
                    <w:sz w:val="20"/>
                    <w:szCs w:val="20"/>
                  </w:rPr>
                  <w:t>☒</w:t>
                </w:r>
              </w:sdtContent>
            </w:sdt>
            <w:r w:rsidR="00284A08" w:rsidRPr="00CF7E7E">
              <w:rPr>
                <w:rFonts w:ascii="Arial" w:hAnsi="Arial" w:cs="Arial"/>
                <w:sz w:val="20"/>
                <w:szCs w:val="20"/>
              </w:rPr>
              <w:t>Partially priced</w:t>
            </w:r>
            <w:r w:rsidR="00284A08">
              <w:rPr>
                <w:rFonts w:ascii="Arial" w:hAnsi="Arial" w:cs="Arial"/>
                <w:sz w:val="20"/>
                <w:szCs w:val="20"/>
              </w:rPr>
              <w:t xml:space="preserve"> – in the case of uncapped guarantees </w:t>
            </w:r>
          </w:p>
          <w:p w14:paraId="6F1E6AD8" w14:textId="77777777" w:rsidR="00284A08" w:rsidRPr="00CF7E7E" w:rsidRDefault="00687765" w:rsidP="00284A08">
            <w:pPr>
              <w:tabs>
                <w:tab w:val="left" w:pos="915"/>
              </w:tabs>
              <w:autoSpaceDE w:val="0"/>
              <w:autoSpaceDN w:val="0"/>
              <w:adjustRightInd w:val="0"/>
              <w:jc w:val="both"/>
              <w:rPr>
                <w:rFonts w:ascii="Arial" w:hAnsi="Arial"/>
                <w:sz w:val="20"/>
                <w:szCs w:val="20"/>
              </w:rPr>
            </w:pPr>
            <w:sdt>
              <w:sdtPr>
                <w:rPr>
                  <w:rFonts w:ascii="Arial" w:hAnsi="Arial" w:cs="Arial"/>
                  <w:sz w:val="20"/>
                  <w:szCs w:val="20"/>
                </w:rPr>
                <w:id w:val="-1770465951"/>
                <w14:checkbox>
                  <w14:checked w14:val="0"/>
                  <w14:checkedState w14:val="2612" w14:font="MS Gothic"/>
                  <w14:uncheckedState w14:val="2610" w14:font="MS Gothic"/>
                </w14:checkbox>
              </w:sdtPr>
              <w:sdtEndPr/>
              <w:sdtContent>
                <w:r w:rsidR="00284A08" w:rsidRPr="00CF7E7E">
                  <w:rPr>
                    <w:rFonts w:ascii="MS Gothic" w:eastAsia="MS Gothic" w:hAnsi="MS Gothic" w:cs="Arial" w:hint="eastAsia"/>
                    <w:sz w:val="20"/>
                    <w:szCs w:val="20"/>
                  </w:rPr>
                  <w:t>☐</w:t>
                </w:r>
              </w:sdtContent>
            </w:sdt>
            <w:r w:rsidR="00284A08" w:rsidRPr="00CF7E7E">
              <w:rPr>
                <w:rFonts w:ascii="Arial" w:hAnsi="Arial"/>
                <w:sz w:val="20"/>
                <w:szCs w:val="20"/>
              </w:rPr>
              <w:t>Fully priced</w:t>
            </w:r>
          </w:p>
          <w:p w14:paraId="7CF5D3C8" w14:textId="77777777" w:rsidR="00284A08" w:rsidRPr="00CF7E7E" w:rsidRDefault="00284A08" w:rsidP="00766559">
            <w:pPr>
              <w:tabs>
                <w:tab w:val="left" w:pos="915"/>
              </w:tabs>
              <w:autoSpaceDE w:val="0"/>
              <w:autoSpaceDN w:val="0"/>
              <w:adjustRightInd w:val="0"/>
              <w:jc w:val="both"/>
              <w:rPr>
                <w:rFonts w:ascii="Arial" w:hAnsi="Arial" w:cs="Arial"/>
                <w:sz w:val="20"/>
                <w:szCs w:val="20"/>
              </w:rPr>
            </w:pPr>
          </w:p>
        </w:tc>
      </w:tr>
      <w:tr w:rsidR="00284A08" w:rsidRPr="00360490" w14:paraId="0CA84787" w14:textId="77777777" w:rsidTr="00284A08">
        <w:tc>
          <w:tcPr>
            <w:tcW w:w="803" w:type="dxa"/>
          </w:tcPr>
          <w:p w14:paraId="5EC8AAAC" w14:textId="77777777" w:rsidR="00284A08" w:rsidRPr="00360490" w:rsidRDefault="00284A08" w:rsidP="00284A08">
            <w:pPr>
              <w:jc w:val="both"/>
              <w:rPr>
                <w:rFonts w:ascii="Arial" w:hAnsi="Arial"/>
                <w:b/>
                <w:sz w:val="20"/>
                <w:szCs w:val="20"/>
              </w:rPr>
            </w:pPr>
            <w:r w:rsidRPr="00360490">
              <w:rPr>
                <w:rFonts w:ascii="Arial" w:hAnsi="Arial"/>
                <w:b/>
                <w:sz w:val="20"/>
                <w:szCs w:val="20"/>
              </w:rPr>
              <w:t>16.</w:t>
            </w:r>
          </w:p>
        </w:tc>
        <w:tc>
          <w:tcPr>
            <w:tcW w:w="2514" w:type="dxa"/>
          </w:tcPr>
          <w:p w14:paraId="534865EB" w14:textId="77777777" w:rsidR="00284A08" w:rsidRPr="00360490" w:rsidRDefault="00284A08" w:rsidP="00284A08">
            <w:pPr>
              <w:jc w:val="both"/>
              <w:rPr>
                <w:rFonts w:ascii="Arial" w:hAnsi="Arial"/>
                <w:b/>
                <w:sz w:val="20"/>
                <w:szCs w:val="20"/>
              </w:rPr>
            </w:pPr>
            <w:r w:rsidRPr="00360490">
              <w:rPr>
                <w:rFonts w:ascii="Arial" w:hAnsi="Arial"/>
                <w:b/>
                <w:sz w:val="20"/>
                <w:szCs w:val="20"/>
              </w:rPr>
              <w:t>Guaranteed Amounts</w:t>
            </w:r>
          </w:p>
        </w:tc>
        <w:tc>
          <w:tcPr>
            <w:tcW w:w="7247" w:type="dxa"/>
          </w:tcPr>
          <w:p w14:paraId="1B7AD59E" w14:textId="0F59845F" w:rsidR="00284A08" w:rsidRDefault="00284A08" w:rsidP="00284A08">
            <w:pPr>
              <w:jc w:val="both"/>
              <w:rPr>
                <w:rFonts w:ascii="Arial" w:hAnsi="Arial"/>
                <w:sz w:val="20"/>
                <w:szCs w:val="20"/>
              </w:rPr>
            </w:pPr>
            <w:r>
              <w:rPr>
                <w:rFonts w:ascii="Arial" w:hAnsi="Arial"/>
                <w:sz w:val="20"/>
                <w:szCs w:val="20"/>
              </w:rPr>
              <w:t xml:space="preserve">Each transaction included in the new portfolio to be  established shall typically </w:t>
            </w:r>
            <w:r>
              <w:rPr>
                <w:rFonts w:ascii="Arial" w:hAnsi="Arial"/>
                <w:sz w:val="20"/>
                <w:szCs w:val="20"/>
              </w:rPr>
              <w:lastRenderedPageBreak/>
              <w:t>be covered by a 50% guarantee rate. A guarantee rate of up to 70% shall be applicable for transactions of particular policy value as outlined in section 6 above.</w:t>
            </w:r>
          </w:p>
          <w:p w14:paraId="5261E1CB" w14:textId="77777777" w:rsidR="00284A08" w:rsidRDefault="00284A08" w:rsidP="00284A08">
            <w:pPr>
              <w:jc w:val="both"/>
              <w:rPr>
                <w:rFonts w:ascii="Arial" w:hAnsi="Arial"/>
                <w:sz w:val="20"/>
                <w:szCs w:val="20"/>
              </w:rPr>
            </w:pPr>
          </w:p>
          <w:p w14:paraId="102008F5" w14:textId="77777777" w:rsidR="00284A08" w:rsidRDefault="00284A08" w:rsidP="00284A08">
            <w:pPr>
              <w:jc w:val="both"/>
              <w:rPr>
                <w:rFonts w:ascii="Arial" w:hAnsi="Arial"/>
                <w:sz w:val="20"/>
                <w:szCs w:val="20"/>
              </w:rPr>
            </w:pPr>
            <w:r>
              <w:rPr>
                <w:rFonts w:ascii="Arial" w:hAnsi="Arial"/>
                <w:sz w:val="20"/>
                <w:szCs w:val="20"/>
              </w:rPr>
              <w:t xml:space="preserve">For each financing and investment operation the Implementing Partner shall establish the expected losses of the new portfolio to be built up. The cap rate shall be set at the level of the expected losses, shall not be lower than 5% and shall not exceed 25%. </w:t>
            </w:r>
          </w:p>
          <w:p w14:paraId="38045B2C" w14:textId="77777777" w:rsidR="00284A08" w:rsidRDefault="00284A08" w:rsidP="00284A08">
            <w:pPr>
              <w:jc w:val="both"/>
              <w:rPr>
                <w:rFonts w:ascii="Arial" w:hAnsi="Arial"/>
                <w:sz w:val="20"/>
                <w:szCs w:val="20"/>
              </w:rPr>
            </w:pPr>
          </w:p>
          <w:p w14:paraId="1A2A7B5B" w14:textId="77777777" w:rsidR="00284A08" w:rsidRPr="00140343" w:rsidRDefault="00284A08" w:rsidP="00284A08">
            <w:pPr>
              <w:jc w:val="both"/>
              <w:rPr>
                <w:rFonts w:ascii="Arial" w:hAnsi="Arial"/>
                <w:i/>
                <w:sz w:val="20"/>
                <w:szCs w:val="20"/>
              </w:rPr>
            </w:pPr>
            <w:r w:rsidRPr="00140343">
              <w:rPr>
                <w:rFonts w:ascii="Arial" w:hAnsi="Arial"/>
                <w:sz w:val="20"/>
                <w:szCs w:val="20"/>
              </w:rPr>
              <w:t>In line with Article 16 (2) of the InvestEU Regulation, the EU guarantee shall cover principle and all interest and amounts due to the implementing partner</w:t>
            </w:r>
            <w:r>
              <w:rPr>
                <w:rFonts w:ascii="Arial" w:hAnsi="Arial"/>
                <w:sz w:val="20"/>
                <w:szCs w:val="20"/>
              </w:rPr>
              <w:t xml:space="preserve"> but not received by it in accordance with the terms of the financing </w:t>
            </w:r>
            <w:r w:rsidRPr="00140343">
              <w:rPr>
                <w:rFonts w:ascii="Arial" w:hAnsi="Arial"/>
                <w:sz w:val="20"/>
                <w:szCs w:val="20"/>
              </w:rPr>
              <w:t xml:space="preserve"> operations</w:t>
            </w:r>
            <w:r>
              <w:rPr>
                <w:rFonts w:ascii="Arial" w:hAnsi="Arial"/>
                <w:sz w:val="20"/>
                <w:szCs w:val="20"/>
              </w:rPr>
              <w:t xml:space="preserve"> until the event of default</w:t>
            </w:r>
            <w:r w:rsidRPr="00140343">
              <w:rPr>
                <w:rFonts w:ascii="Arial" w:hAnsi="Arial"/>
                <w:sz w:val="20"/>
                <w:szCs w:val="20"/>
              </w:rPr>
              <w:t xml:space="preserve">, restructuring losses </w:t>
            </w:r>
            <w:r w:rsidRPr="00483C36">
              <w:rPr>
                <w:rFonts w:ascii="Arial" w:hAnsi="Arial"/>
                <w:sz w:val="20"/>
                <w:szCs w:val="20"/>
              </w:rPr>
              <w:t>and losses arising from currenc</w:t>
            </w:r>
            <w:r w:rsidR="0049252C">
              <w:rPr>
                <w:rFonts w:ascii="Arial" w:hAnsi="Arial"/>
                <w:sz w:val="20"/>
                <w:szCs w:val="20"/>
              </w:rPr>
              <w:t>y</w:t>
            </w:r>
            <w:r w:rsidRPr="00483C36">
              <w:rPr>
                <w:rFonts w:ascii="Arial" w:hAnsi="Arial"/>
                <w:sz w:val="20"/>
                <w:szCs w:val="20"/>
              </w:rPr>
              <w:t xml:space="preserve"> fluctuations </w:t>
            </w:r>
            <w:r>
              <w:rPr>
                <w:rFonts w:ascii="Arial" w:hAnsi="Arial"/>
                <w:sz w:val="20"/>
                <w:szCs w:val="20"/>
              </w:rPr>
              <w:t xml:space="preserve">other than the euro in markets </w:t>
            </w:r>
            <w:r w:rsidRPr="00483C36">
              <w:rPr>
                <w:rFonts w:ascii="Arial" w:hAnsi="Arial"/>
                <w:sz w:val="20"/>
                <w:szCs w:val="20"/>
              </w:rPr>
              <w:t>where possibilities for long-term hedging are limited</w:t>
            </w:r>
            <w:r w:rsidRPr="00140343">
              <w:rPr>
                <w:rFonts w:ascii="Arial" w:hAnsi="Arial"/>
                <w:sz w:val="20"/>
                <w:szCs w:val="20"/>
              </w:rPr>
              <w:t xml:space="preserve">. </w:t>
            </w:r>
          </w:p>
          <w:p w14:paraId="6ACB19C3" w14:textId="77777777" w:rsidR="00284A08" w:rsidRPr="00360490" w:rsidDel="00A970EE" w:rsidRDefault="00284A08" w:rsidP="00284A08">
            <w:pPr>
              <w:rPr>
                <w:rFonts w:ascii="Arial" w:hAnsi="Arial"/>
                <w:i/>
                <w:sz w:val="20"/>
                <w:szCs w:val="20"/>
              </w:rPr>
            </w:pPr>
          </w:p>
        </w:tc>
      </w:tr>
      <w:tr w:rsidR="00284A08" w:rsidRPr="00360490" w14:paraId="390FBD98" w14:textId="77777777" w:rsidTr="00284A08">
        <w:tc>
          <w:tcPr>
            <w:tcW w:w="803" w:type="dxa"/>
          </w:tcPr>
          <w:p w14:paraId="2ECCB8EC" w14:textId="77777777" w:rsidR="00284A08" w:rsidRPr="00360490" w:rsidRDefault="00284A08" w:rsidP="00284A08">
            <w:pPr>
              <w:jc w:val="both"/>
              <w:rPr>
                <w:rFonts w:ascii="Arial" w:hAnsi="Arial"/>
                <w:b/>
                <w:sz w:val="20"/>
                <w:szCs w:val="20"/>
              </w:rPr>
            </w:pPr>
            <w:r w:rsidRPr="00360490">
              <w:rPr>
                <w:rFonts w:ascii="Arial" w:hAnsi="Arial"/>
                <w:b/>
                <w:sz w:val="20"/>
                <w:szCs w:val="20"/>
              </w:rPr>
              <w:lastRenderedPageBreak/>
              <w:t>17.</w:t>
            </w:r>
          </w:p>
        </w:tc>
        <w:tc>
          <w:tcPr>
            <w:tcW w:w="2514" w:type="dxa"/>
          </w:tcPr>
          <w:p w14:paraId="7EDEF605" w14:textId="77777777" w:rsidR="00284A08" w:rsidRPr="00360490" w:rsidRDefault="00284A08" w:rsidP="00284A08">
            <w:pPr>
              <w:jc w:val="both"/>
              <w:rPr>
                <w:rFonts w:ascii="Arial" w:hAnsi="Arial"/>
                <w:b/>
                <w:sz w:val="20"/>
                <w:szCs w:val="20"/>
              </w:rPr>
            </w:pPr>
            <w:r w:rsidRPr="00360490">
              <w:rPr>
                <w:rFonts w:ascii="Arial" w:hAnsi="Arial"/>
                <w:b/>
                <w:sz w:val="20"/>
                <w:szCs w:val="20"/>
              </w:rPr>
              <w:t>EU Guarantee coverage provided to the Implementing Partner</w:t>
            </w:r>
          </w:p>
        </w:tc>
        <w:tc>
          <w:tcPr>
            <w:tcW w:w="7247" w:type="dxa"/>
          </w:tcPr>
          <w:p w14:paraId="4A91182D" w14:textId="77777777" w:rsidR="00284A08" w:rsidRPr="00360490" w:rsidRDefault="00687765" w:rsidP="00284A08">
            <w:pPr>
              <w:tabs>
                <w:tab w:val="left" w:pos="915"/>
              </w:tabs>
              <w:autoSpaceDE w:val="0"/>
              <w:autoSpaceDN w:val="0"/>
              <w:adjustRightInd w:val="0"/>
              <w:jc w:val="both"/>
              <w:rPr>
                <w:rFonts w:ascii="Arial" w:hAnsi="Arial"/>
                <w:sz w:val="20"/>
                <w:szCs w:val="20"/>
              </w:rPr>
            </w:pPr>
            <w:sdt>
              <w:sdtPr>
                <w:rPr>
                  <w:rFonts w:ascii="Arial" w:hAnsi="Arial" w:cs="Arial"/>
                  <w:sz w:val="20"/>
                  <w:szCs w:val="20"/>
                </w:rPr>
                <w:id w:val="712303792"/>
                <w14:checkbox>
                  <w14:checked w14:val="1"/>
                  <w14:checkedState w14:val="2612" w14:font="MS Gothic"/>
                  <w14:uncheckedState w14:val="2610" w14:font="MS Gothic"/>
                </w14:checkbox>
              </w:sdtPr>
              <w:sdtEndPr/>
              <w:sdtContent>
                <w:r w:rsidR="00284A08">
                  <w:rPr>
                    <w:rFonts w:ascii="MS Gothic" w:eastAsia="MS Gothic" w:hAnsi="MS Gothic" w:cs="Arial" w:hint="eastAsia"/>
                    <w:sz w:val="20"/>
                    <w:szCs w:val="20"/>
                  </w:rPr>
                  <w:t>☒</w:t>
                </w:r>
              </w:sdtContent>
            </w:sdt>
            <w:r w:rsidR="00284A08" w:rsidRPr="00360490">
              <w:rPr>
                <w:rFonts w:ascii="Arial" w:hAnsi="Arial"/>
                <w:sz w:val="20"/>
                <w:szCs w:val="20"/>
              </w:rPr>
              <w:t>First Loss Contribution</w:t>
            </w:r>
          </w:p>
          <w:p w14:paraId="3B5941A7" w14:textId="77777777" w:rsidR="00284A08" w:rsidRPr="00360490" w:rsidRDefault="00687765" w:rsidP="00284A08">
            <w:pPr>
              <w:tabs>
                <w:tab w:val="left" w:pos="915"/>
              </w:tabs>
              <w:autoSpaceDE w:val="0"/>
              <w:autoSpaceDN w:val="0"/>
              <w:adjustRightInd w:val="0"/>
              <w:jc w:val="both"/>
              <w:rPr>
                <w:rFonts w:ascii="Arial" w:hAnsi="Arial" w:cs="Arial"/>
                <w:sz w:val="20"/>
                <w:szCs w:val="20"/>
              </w:rPr>
            </w:pPr>
            <w:sdt>
              <w:sdtPr>
                <w:rPr>
                  <w:rFonts w:ascii="Arial" w:hAnsi="Arial" w:cs="Arial"/>
                  <w:sz w:val="20"/>
                  <w:szCs w:val="20"/>
                </w:rPr>
                <w:id w:val="-1973824655"/>
                <w14:checkbox>
                  <w14:checked w14:val="0"/>
                  <w14:checkedState w14:val="2612" w14:font="MS Gothic"/>
                  <w14:uncheckedState w14:val="2610" w14:font="MS Gothic"/>
                </w14:checkbox>
              </w:sdtPr>
              <w:sdtEndPr/>
              <w:sdtContent>
                <w:r w:rsidR="00284A08" w:rsidRPr="00360490">
                  <w:rPr>
                    <w:rFonts w:ascii="MS Gothic" w:eastAsia="MS Gothic" w:hAnsi="MS Gothic" w:cs="Arial" w:hint="eastAsia"/>
                    <w:sz w:val="20"/>
                    <w:szCs w:val="20"/>
                  </w:rPr>
                  <w:t>☐</w:t>
                </w:r>
              </w:sdtContent>
            </w:sdt>
            <w:r w:rsidR="00284A08" w:rsidRPr="00360490">
              <w:rPr>
                <w:rFonts w:ascii="Arial" w:hAnsi="Arial" w:cs="Arial"/>
                <w:sz w:val="20"/>
                <w:szCs w:val="20"/>
              </w:rPr>
              <w:t>Pari-passu</w:t>
            </w:r>
          </w:p>
          <w:p w14:paraId="6A386C32" w14:textId="77777777" w:rsidR="00284A08" w:rsidRDefault="00687765" w:rsidP="00284A08">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276921745"/>
                <w14:checkbox>
                  <w14:checked w14:val="1"/>
                  <w14:checkedState w14:val="2612" w14:font="MS Gothic"/>
                  <w14:uncheckedState w14:val="2610" w14:font="MS Gothic"/>
                </w14:checkbox>
              </w:sdtPr>
              <w:sdtEndPr/>
              <w:sdtContent>
                <w:r w:rsidR="00284A08">
                  <w:rPr>
                    <w:rFonts w:ascii="MS Gothic" w:eastAsia="MS Gothic" w:hAnsi="MS Gothic" w:cs="Arial" w:hint="eastAsia"/>
                    <w:sz w:val="20"/>
                    <w:szCs w:val="20"/>
                  </w:rPr>
                  <w:t>☒</w:t>
                </w:r>
              </w:sdtContent>
            </w:sdt>
            <w:r w:rsidR="00284A08" w:rsidRPr="00360490">
              <w:rPr>
                <w:rFonts w:ascii="Arial" w:hAnsi="Arial" w:cs="Arial"/>
                <w:sz w:val="20"/>
                <w:szCs w:val="20"/>
              </w:rPr>
              <w:t xml:space="preserve">Other arrangements </w:t>
            </w:r>
            <w:r w:rsidR="00284A08" w:rsidRPr="00360490">
              <w:rPr>
                <w:rFonts w:ascii="Arial" w:hAnsi="Arial" w:cs="Arial"/>
                <w:i/>
                <w:sz w:val="20"/>
                <w:szCs w:val="20"/>
              </w:rPr>
              <w:t>(please specify)</w:t>
            </w:r>
          </w:p>
          <w:p w14:paraId="119BB3C7" w14:textId="77777777" w:rsidR="00284A08" w:rsidRDefault="00284A08" w:rsidP="00284A08">
            <w:pPr>
              <w:tabs>
                <w:tab w:val="left" w:pos="3330"/>
              </w:tabs>
              <w:autoSpaceDE w:val="0"/>
              <w:autoSpaceDN w:val="0"/>
              <w:adjustRightInd w:val="0"/>
              <w:jc w:val="both"/>
              <w:rPr>
                <w:rFonts w:ascii="Arial" w:hAnsi="Arial" w:cs="Arial"/>
                <w:i/>
                <w:sz w:val="20"/>
                <w:szCs w:val="20"/>
              </w:rPr>
            </w:pPr>
          </w:p>
          <w:p w14:paraId="1D4C8534" w14:textId="3E874F53" w:rsidR="00284A08" w:rsidRDefault="00284A08" w:rsidP="00284A08">
            <w:pPr>
              <w:autoSpaceDE w:val="0"/>
              <w:autoSpaceDN w:val="0"/>
              <w:adjustRightInd w:val="0"/>
              <w:jc w:val="both"/>
              <w:rPr>
                <w:rFonts w:ascii="Arial" w:hAnsi="Arial" w:cs="Arial"/>
                <w:sz w:val="20"/>
                <w:szCs w:val="20"/>
              </w:rPr>
            </w:pPr>
            <w:r>
              <w:t>[</w:t>
            </w:r>
            <w:r>
              <w:rPr>
                <w:rFonts w:ascii="Arial" w:hAnsi="Arial" w:cs="Arial"/>
                <w:sz w:val="20"/>
                <w:szCs w:val="20"/>
              </w:rPr>
              <w:t>In case the Financial Intermediary would request risk coverage exceeding the expected losses, part of the mezzanine risk may also be covered by the EU guarantee but will require  risk remuneration]</w:t>
            </w:r>
          </w:p>
          <w:p w14:paraId="1B9EE04D" w14:textId="77777777" w:rsidR="00284A08" w:rsidRPr="00360490" w:rsidRDefault="00284A08" w:rsidP="00284A08">
            <w:pPr>
              <w:tabs>
                <w:tab w:val="left" w:pos="3330"/>
              </w:tabs>
              <w:autoSpaceDE w:val="0"/>
              <w:autoSpaceDN w:val="0"/>
              <w:adjustRightInd w:val="0"/>
              <w:jc w:val="both"/>
              <w:rPr>
                <w:rFonts w:ascii="Arial" w:hAnsi="Arial" w:cs="Arial"/>
                <w:i/>
                <w:sz w:val="20"/>
                <w:szCs w:val="20"/>
              </w:rPr>
            </w:pPr>
          </w:p>
        </w:tc>
      </w:tr>
      <w:tr w:rsidR="00284A08" w:rsidRPr="00360490" w14:paraId="7B5DE904" w14:textId="77777777" w:rsidTr="00284A08">
        <w:tc>
          <w:tcPr>
            <w:tcW w:w="803" w:type="dxa"/>
          </w:tcPr>
          <w:p w14:paraId="2BE93EF8" w14:textId="77777777" w:rsidR="00284A08" w:rsidRPr="00360490" w:rsidRDefault="00284A08" w:rsidP="00284A08">
            <w:pPr>
              <w:rPr>
                <w:rFonts w:ascii="Arial" w:hAnsi="Arial"/>
                <w:b/>
                <w:sz w:val="20"/>
                <w:szCs w:val="20"/>
              </w:rPr>
            </w:pPr>
            <w:r w:rsidRPr="00360490">
              <w:rPr>
                <w:rFonts w:ascii="Arial" w:hAnsi="Arial"/>
                <w:b/>
                <w:sz w:val="20"/>
                <w:szCs w:val="20"/>
              </w:rPr>
              <w:t>18.</w:t>
            </w:r>
          </w:p>
        </w:tc>
        <w:tc>
          <w:tcPr>
            <w:tcW w:w="2514" w:type="dxa"/>
          </w:tcPr>
          <w:p w14:paraId="2E218643" w14:textId="77777777" w:rsidR="00284A08" w:rsidRPr="00360490" w:rsidRDefault="00284A08" w:rsidP="00284A08">
            <w:pPr>
              <w:rPr>
                <w:rFonts w:ascii="Arial" w:hAnsi="Arial"/>
                <w:b/>
                <w:sz w:val="20"/>
                <w:szCs w:val="20"/>
              </w:rPr>
            </w:pPr>
            <w:r w:rsidRPr="00360490">
              <w:rPr>
                <w:rFonts w:ascii="Arial" w:hAnsi="Arial"/>
                <w:b/>
                <w:sz w:val="20"/>
                <w:szCs w:val="20"/>
              </w:rPr>
              <w:t>Risk Sharing with the Implementing Partner</w:t>
            </w:r>
          </w:p>
        </w:tc>
        <w:tc>
          <w:tcPr>
            <w:tcW w:w="7247" w:type="dxa"/>
          </w:tcPr>
          <w:p w14:paraId="57288DD5" w14:textId="77777777" w:rsidR="00284A08" w:rsidRPr="008A4C17" w:rsidRDefault="00687765" w:rsidP="00284A08">
            <w:pPr>
              <w:autoSpaceDE w:val="0"/>
              <w:autoSpaceDN w:val="0"/>
              <w:adjustRightInd w:val="0"/>
              <w:jc w:val="both"/>
              <w:rPr>
                <w:rFonts w:ascii="Arial" w:hAnsi="Arial" w:cs="Arial"/>
                <w:sz w:val="20"/>
                <w:szCs w:val="20"/>
                <w:u w:val="single"/>
              </w:rPr>
            </w:pPr>
            <w:sdt>
              <w:sdtPr>
                <w:rPr>
                  <w:rFonts w:ascii="Arial" w:hAnsi="Arial" w:cs="Arial"/>
                  <w:sz w:val="20"/>
                  <w:szCs w:val="20"/>
                </w:rPr>
                <w:id w:val="-918636485"/>
                <w14:checkbox>
                  <w14:checked w14:val="0"/>
                  <w14:checkedState w14:val="2612" w14:font="MS Gothic"/>
                  <w14:uncheckedState w14:val="2610" w14:font="MS Gothic"/>
                </w14:checkbox>
              </w:sdtPr>
              <w:sdtEndPr/>
              <w:sdtContent>
                <w:r w:rsidR="00284A08">
                  <w:rPr>
                    <w:rFonts w:ascii="MS Gothic" w:eastAsia="MS Gothic" w:hAnsi="MS Gothic" w:cs="Arial" w:hint="eastAsia"/>
                    <w:sz w:val="20"/>
                    <w:szCs w:val="20"/>
                  </w:rPr>
                  <w:t>☐</w:t>
                </w:r>
              </w:sdtContent>
            </w:sdt>
            <w:r w:rsidR="00284A08" w:rsidRPr="00360490">
              <w:rPr>
                <w:rFonts w:ascii="Arial" w:hAnsi="Arial" w:cs="Arial"/>
                <w:sz w:val="20"/>
                <w:szCs w:val="20"/>
              </w:rPr>
              <w:t xml:space="preserve">Risk-sharing of First Loss piece: </w:t>
            </w:r>
          </w:p>
          <w:p w14:paraId="49D607E2" w14:textId="682D4123" w:rsidR="00284A08" w:rsidRPr="00360490" w:rsidRDefault="00687765" w:rsidP="00284A08">
            <w:pPr>
              <w:autoSpaceDE w:val="0"/>
              <w:autoSpaceDN w:val="0"/>
              <w:adjustRightInd w:val="0"/>
              <w:jc w:val="both"/>
              <w:rPr>
                <w:rFonts w:ascii="Arial" w:hAnsi="Arial" w:cs="Arial"/>
                <w:sz w:val="20"/>
                <w:szCs w:val="20"/>
              </w:rPr>
            </w:pPr>
            <w:sdt>
              <w:sdtPr>
                <w:rPr>
                  <w:rFonts w:ascii="Arial" w:hAnsi="Arial" w:cs="Arial"/>
                  <w:sz w:val="20"/>
                  <w:szCs w:val="20"/>
                </w:rPr>
                <w:id w:val="-1080057921"/>
                <w14:checkbox>
                  <w14:checked w14:val="1"/>
                  <w14:checkedState w14:val="2612" w14:font="MS Gothic"/>
                  <w14:uncheckedState w14:val="2610" w14:font="MS Gothic"/>
                </w14:checkbox>
              </w:sdtPr>
              <w:sdtEndPr/>
              <w:sdtContent>
                <w:r w:rsidR="00284A08">
                  <w:rPr>
                    <w:rFonts w:ascii="MS Gothic" w:eastAsia="MS Gothic" w:hAnsi="MS Gothic" w:cs="Arial" w:hint="eastAsia"/>
                    <w:sz w:val="20"/>
                    <w:szCs w:val="20"/>
                  </w:rPr>
                  <w:t>☒</w:t>
                </w:r>
              </w:sdtContent>
            </w:sdt>
            <w:r w:rsidR="00284A08" w:rsidRPr="00360490">
              <w:rPr>
                <w:rFonts w:ascii="Arial" w:hAnsi="Arial" w:cs="Arial"/>
                <w:sz w:val="20"/>
                <w:szCs w:val="20"/>
              </w:rPr>
              <w:t xml:space="preserve">Residual Risk Tranche ('Second Loss Piece'): </w:t>
            </w:r>
            <w:r w:rsidR="00284A08">
              <w:rPr>
                <w:rFonts w:ascii="Arial" w:hAnsi="Arial" w:cs="Arial"/>
                <w:sz w:val="20"/>
                <w:szCs w:val="20"/>
              </w:rPr>
              <w:t xml:space="preserve">In   case of </w:t>
            </w:r>
            <w:r w:rsidR="00284A08" w:rsidRPr="00A338E7">
              <w:rPr>
                <w:rFonts w:ascii="Arial" w:hAnsi="Arial" w:cs="Arial"/>
                <w:b/>
                <w:sz w:val="20"/>
                <w:szCs w:val="20"/>
              </w:rPr>
              <w:t xml:space="preserve">uncapped </w:t>
            </w:r>
            <w:r w:rsidR="00284A08">
              <w:rPr>
                <w:rFonts w:ascii="Arial" w:hAnsi="Arial" w:cs="Arial"/>
                <w:b/>
                <w:sz w:val="20"/>
                <w:szCs w:val="20"/>
              </w:rPr>
              <w:t xml:space="preserve">portfolio </w:t>
            </w:r>
            <w:r w:rsidR="00284A08" w:rsidRPr="00A338E7">
              <w:rPr>
                <w:rFonts w:ascii="Arial" w:hAnsi="Arial" w:cs="Arial"/>
                <w:b/>
                <w:sz w:val="20"/>
                <w:szCs w:val="20"/>
              </w:rPr>
              <w:t>guarantees</w:t>
            </w:r>
            <w:r w:rsidR="00284A08">
              <w:rPr>
                <w:rFonts w:ascii="Arial" w:hAnsi="Arial" w:cs="Arial"/>
                <w:sz w:val="20"/>
                <w:szCs w:val="20"/>
              </w:rPr>
              <w:t xml:space="preserve">, implementing partner to </w:t>
            </w:r>
            <w:r w:rsidR="001102F7">
              <w:rPr>
                <w:rFonts w:ascii="Arial" w:hAnsi="Arial" w:cs="Arial"/>
                <w:sz w:val="20"/>
                <w:szCs w:val="20"/>
              </w:rPr>
              <w:t xml:space="preserve">cover </w:t>
            </w:r>
            <w:r w:rsidR="00284A08">
              <w:rPr>
                <w:rFonts w:ascii="Arial" w:hAnsi="Arial" w:cs="Arial"/>
                <w:sz w:val="20"/>
                <w:szCs w:val="20"/>
              </w:rPr>
              <w:t xml:space="preserve">the senior </w:t>
            </w:r>
            <w:r w:rsidR="001102F7">
              <w:rPr>
                <w:rFonts w:ascii="Arial" w:hAnsi="Arial" w:cs="Arial"/>
                <w:sz w:val="20"/>
                <w:szCs w:val="20"/>
              </w:rPr>
              <w:t xml:space="preserve">risk and where there is a mezzanine </w:t>
            </w:r>
            <w:r w:rsidR="00284A08">
              <w:rPr>
                <w:rFonts w:ascii="Arial" w:hAnsi="Arial" w:cs="Arial"/>
                <w:sz w:val="20"/>
                <w:szCs w:val="20"/>
              </w:rPr>
              <w:t>tranche</w:t>
            </w:r>
            <w:r w:rsidR="001102F7">
              <w:rPr>
                <w:rFonts w:ascii="Arial" w:hAnsi="Arial" w:cs="Arial"/>
                <w:sz w:val="20"/>
                <w:szCs w:val="20"/>
              </w:rPr>
              <w:t xml:space="preserve">, at least a part of this mezzanine tranche </w:t>
            </w:r>
            <w:r w:rsidR="00284A08">
              <w:rPr>
                <w:rFonts w:ascii="Arial" w:hAnsi="Arial" w:cs="Arial"/>
                <w:sz w:val="20"/>
                <w:szCs w:val="20"/>
              </w:rPr>
              <w:t xml:space="preserve"> .</w:t>
            </w:r>
          </w:p>
          <w:p w14:paraId="32F94B55" w14:textId="77777777" w:rsidR="00284A08" w:rsidRPr="00360490" w:rsidRDefault="00687765" w:rsidP="00284A08">
            <w:pPr>
              <w:tabs>
                <w:tab w:val="left" w:pos="915"/>
              </w:tabs>
              <w:autoSpaceDE w:val="0"/>
              <w:autoSpaceDN w:val="0"/>
              <w:adjustRightInd w:val="0"/>
              <w:jc w:val="both"/>
              <w:rPr>
                <w:rFonts w:ascii="Arial" w:hAnsi="Arial" w:cs="Arial"/>
                <w:sz w:val="20"/>
                <w:szCs w:val="20"/>
              </w:rPr>
            </w:pPr>
            <w:sdt>
              <w:sdtPr>
                <w:rPr>
                  <w:rFonts w:ascii="Arial" w:hAnsi="Arial" w:cs="Arial"/>
                  <w:sz w:val="20"/>
                  <w:szCs w:val="20"/>
                </w:rPr>
                <w:id w:val="187805710"/>
                <w14:checkbox>
                  <w14:checked w14:val="0"/>
                  <w14:checkedState w14:val="2612" w14:font="MS Gothic"/>
                  <w14:uncheckedState w14:val="2610" w14:font="MS Gothic"/>
                </w14:checkbox>
              </w:sdtPr>
              <w:sdtEndPr/>
              <w:sdtContent>
                <w:r w:rsidR="00284A08" w:rsidRPr="00360490">
                  <w:rPr>
                    <w:rFonts w:ascii="MS Gothic" w:eastAsia="MS Gothic" w:hAnsi="MS Gothic" w:cs="Arial" w:hint="eastAsia"/>
                    <w:sz w:val="20"/>
                    <w:szCs w:val="20"/>
                  </w:rPr>
                  <w:t>☐</w:t>
                </w:r>
              </w:sdtContent>
            </w:sdt>
            <w:r w:rsidR="00284A08" w:rsidRPr="00360490">
              <w:rPr>
                <w:rFonts w:ascii="Arial" w:hAnsi="Arial" w:cs="Arial"/>
                <w:sz w:val="20"/>
                <w:szCs w:val="20"/>
              </w:rPr>
              <w:t>Pari-passu for the whole instrument</w:t>
            </w:r>
          </w:p>
          <w:p w14:paraId="20CBDABE" w14:textId="77777777" w:rsidR="00284A08" w:rsidRPr="00A338E7" w:rsidRDefault="00687765" w:rsidP="00284A08">
            <w:pPr>
              <w:tabs>
                <w:tab w:val="left" w:pos="3330"/>
              </w:tabs>
              <w:autoSpaceDE w:val="0"/>
              <w:autoSpaceDN w:val="0"/>
              <w:adjustRightInd w:val="0"/>
              <w:jc w:val="both"/>
              <w:rPr>
                <w:rFonts w:ascii="Arial" w:hAnsi="Arial" w:cs="Arial"/>
                <w:sz w:val="20"/>
                <w:szCs w:val="20"/>
              </w:rPr>
            </w:pPr>
            <w:sdt>
              <w:sdtPr>
                <w:rPr>
                  <w:rFonts w:ascii="Arial" w:hAnsi="Arial" w:cs="Arial"/>
                  <w:sz w:val="20"/>
                  <w:szCs w:val="20"/>
                </w:rPr>
                <w:id w:val="-969363359"/>
                <w14:checkbox>
                  <w14:checked w14:val="1"/>
                  <w14:checkedState w14:val="2612" w14:font="MS Gothic"/>
                  <w14:uncheckedState w14:val="2610" w14:font="MS Gothic"/>
                </w14:checkbox>
              </w:sdtPr>
              <w:sdtEndPr/>
              <w:sdtContent>
                <w:r w:rsidR="00284A08">
                  <w:rPr>
                    <w:rFonts w:ascii="MS Gothic" w:eastAsia="MS Gothic" w:hAnsi="MS Gothic" w:cs="Arial" w:hint="eastAsia"/>
                    <w:sz w:val="20"/>
                    <w:szCs w:val="20"/>
                  </w:rPr>
                  <w:t>☒</w:t>
                </w:r>
              </w:sdtContent>
            </w:sdt>
            <w:r w:rsidR="00284A08" w:rsidRPr="00360490">
              <w:rPr>
                <w:rFonts w:ascii="Arial" w:hAnsi="Arial" w:cs="Arial"/>
                <w:sz w:val="20"/>
                <w:szCs w:val="20"/>
              </w:rPr>
              <w:t xml:space="preserve">Other arrangements </w:t>
            </w:r>
            <w:r w:rsidR="00284A08" w:rsidRPr="00360490">
              <w:rPr>
                <w:rFonts w:ascii="Arial" w:hAnsi="Arial" w:cs="Arial"/>
                <w:i/>
                <w:sz w:val="20"/>
                <w:szCs w:val="20"/>
              </w:rPr>
              <w:t>(please specify)</w:t>
            </w:r>
            <w:r w:rsidR="00284A08">
              <w:rPr>
                <w:rFonts w:ascii="Arial" w:hAnsi="Arial" w:cs="Arial"/>
                <w:i/>
                <w:sz w:val="20"/>
                <w:szCs w:val="20"/>
              </w:rPr>
              <w:t xml:space="preserve"> </w:t>
            </w:r>
            <w:r w:rsidR="00284A08" w:rsidRPr="00A338E7">
              <w:rPr>
                <w:rFonts w:ascii="Arial" w:hAnsi="Arial" w:cs="Arial"/>
                <w:sz w:val="20"/>
                <w:szCs w:val="20"/>
              </w:rPr>
              <w:t>Mandate</w:t>
            </w:r>
            <w:r w:rsidR="00284A08">
              <w:rPr>
                <w:rFonts w:ascii="Arial" w:hAnsi="Arial" w:cs="Arial"/>
                <w:sz w:val="20"/>
                <w:szCs w:val="20"/>
              </w:rPr>
              <w:t xml:space="preserve"> to the Implementing Partner to implement a first-loss </w:t>
            </w:r>
            <w:r w:rsidR="00284A08" w:rsidRPr="00A338E7">
              <w:rPr>
                <w:rFonts w:ascii="Arial" w:hAnsi="Arial" w:cs="Arial"/>
                <w:b/>
                <w:sz w:val="20"/>
                <w:szCs w:val="20"/>
              </w:rPr>
              <w:t>capped portfolio guarantee</w:t>
            </w:r>
          </w:p>
          <w:p w14:paraId="47935CDA" w14:textId="77777777" w:rsidR="00284A08" w:rsidRPr="00360490" w:rsidRDefault="00284A08" w:rsidP="00284A08">
            <w:pPr>
              <w:tabs>
                <w:tab w:val="left" w:pos="915"/>
              </w:tabs>
              <w:autoSpaceDE w:val="0"/>
              <w:autoSpaceDN w:val="0"/>
              <w:adjustRightInd w:val="0"/>
              <w:jc w:val="both"/>
              <w:rPr>
                <w:rFonts w:ascii="Arial" w:hAnsi="Arial" w:cs="Arial"/>
                <w:sz w:val="20"/>
                <w:szCs w:val="20"/>
              </w:rPr>
            </w:pPr>
          </w:p>
        </w:tc>
      </w:tr>
      <w:tr w:rsidR="00284A08" w:rsidRPr="00360490" w14:paraId="228183D5" w14:textId="77777777" w:rsidTr="00284A08">
        <w:tc>
          <w:tcPr>
            <w:tcW w:w="803" w:type="dxa"/>
          </w:tcPr>
          <w:p w14:paraId="5CC125C7" w14:textId="77777777" w:rsidR="00284A08" w:rsidRPr="00360490" w:rsidRDefault="00284A08" w:rsidP="00284A08">
            <w:pPr>
              <w:rPr>
                <w:rFonts w:ascii="Arial" w:hAnsi="Arial"/>
                <w:b/>
                <w:sz w:val="20"/>
                <w:szCs w:val="20"/>
              </w:rPr>
            </w:pPr>
            <w:r w:rsidRPr="00360490">
              <w:rPr>
                <w:rFonts w:ascii="Arial" w:hAnsi="Arial"/>
                <w:b/>
                <w:sz w:val="20"/>
                <w:szCs w:val="20"/>
              </w:rPr>
              <w:t>19.</w:t>
            </w:r>
          </w:p>
        </w:tc>
        <w:tc>
          <w:tcPr>
            <w:tcW w:w="2514" w:type="dxa"/>
          </w:tcPr>
          <w:p w14:paraId="78D32FB6" w14:textId="77777777" w:rsidR="00284A08" w:rsidRPr="00360490" w:rsidRDefault="00284A08" w:rsidP="00284A08">
            <w:pPr>
              <w:rPr>
                <w:rFonts w:ascii="Arial" w:hAnsi="Arial"/>
                <w:b/>
                <w:sz w:val="20"/>
                <w:szCs w:val="20"/>
              </w:rPr>
            </w:pPr>
            <w:r w:rsidRPr="00360490">
              <w:rPr>
                <w:rFonts w:ascii="Arial" w:hAnsi="Arial"/>
                <w:b/>
                <w:sz w:val="20"/>
                <w:szCs w:val="20"/>
              </w:rPr>
              <w:t>Structure / Features</w:t>
            </w:r>
            <w:r>
              <w:rPr>
                <w:rFonts w:ascii="Arial" w:hAnsi="Arial"/>
                <w:b/>
                <w:sz w:val="20"/>
                <w:szCs w:val="20"/>
              </w:rPr>
              <w:t xml:space="preserve"> (relationship between implementing partner and financial intermediary(ies))</w:t>
            </w:r>
          </w:p>
        </w:tc>
        <w:tc>
          <w:tcPr>
            <w:tcW w:w="7247" w:type="dxa"/>
          </w:tcPr>
          <w:p w14:paraId="58DA52F3" w14:textId="77777777" w:rsidR="00284A08" w:rsidRPr="00BB67A4" w:rsidRDefault="00284A08" w:rsidP="00284A08">
            <w:pPr>
              <w:jc w:val="both"/>
              <w:rPr>
                <w:rFonts w:ascii="Arial" w:hAnsi="Arial"/>
                <w:sz w:val="20"/>
                <w:szCs w:val="20"/>
              </w:rPr>
            </w:pPr>
            <w:r w:rsidRPr="00BB67A4">
              <w:rPr>
                <w:rFonts w:ascii="Arial" w:hAnsi="Arial"/>
                <w:sz w:val="20"/>
                <w:szCs w:val="20"/>
              </w:rPr>
              <w:t>Capped portfolio guarantees:</w:t>
            </w:r>
          </w:p>
          <w:p w14:paraId="4AAD1B9A" w14:textId="77777777" w:rsidR="00284A08" w:rsidRPr="00BB67A4" w:rsidRDefault="00284A08" w:rsidP="00284A08">
            <w:pPr>
              <w:jc w:val="both"/>
              <w:rPr>
                <w:rFonts w:ascii="Arial" w:hAnsi="Arial"/>
                <w:sz w:val="20"/>
                <w:szCs w:val="20"/>
              </w:rPr>
            </w:pPr>
          </w:p>
          <w:p w14:paraId="6E08CF4A" w14:textId="77777777" w:rsidR="00284A08" w:rsidRPr="00BB67A4" w:rsidRDefault="00284A08" w:rsidP="00284A08">
            <w:pPr>
              <w:jc w:val="both"/>
              <w:rPr>
                <w:rFonts w:ascii="Arial" w:hAnsi="Arial"/>
                <w:sz w:val="20"/>
                <w:szCs w:val="20"/>
              </w:rPr>
            </w:pPr>
          </w:p>
          <w:p w14:paraId="63053CBF" w14:textId="77777777" w:rsidR="00284A08" w:rsidRPr="00BB67A4" w:rsidRDefault="00284A08" w:rsidP="00284A08">
            <w:pPr>
              <w:jc w:val="both"/>
              <w:rPr>
                <w:rFonts w:ascii="Arial" w:hAnsi="Arial"/>
                <w:sz w:val="20"/>
                <w:szCs w:val="20"/>
              </w:rPr>
            </w:pPr>
            <w:r w:rsidRPr="00BB67A4">
              <w:rPr>
                <w:rFonts w:ascii="Arial" w:hAnsi="Arial"/>
                <w:noProof/>
                <w:sz w:val="20"/>
                <w:szCs w:val="20"/>
                <w:lang w:eastAsia="en-GB"/>
              </w:rPr>
              <w:drawing>
                <wp:inline distT="0" distB="0" distL="0" distR="0" wp14:anchorId="1383ED06" wp14:editId="4728B654">
                  <wp:extent cx="4464800" cy="246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1453" cy="2468578"/>
                          </a:xfrm>
                          <a:prstGeom prst="rect">
                            <a:avLst/>
                          </a:prstGeom>
                          <a:noFill/>
                          <a:ln>
                            <a:noFill/>
                          </a:ln>
                        </pic:spPr>
                      </pic:pic>
                    </a:graphicData>
                  </a:graphic>
                </wp:inline>
              </w:drawing>
            </w:r>
          </w:p>
          <w:p w14:paraId="5AF856C2" w14:textId="77777777" w:rsidR="00284A08" w:rsidRPr="002169EC" w:rsidRDefault="001129A7" w:rsidP="00284A08">
            <w:pPr>
              <w:jc w:val="both"/>
              <w:rPr>
                <w:rFonts w:ascii="Arial" w:hAnsi="Arial"/>
                <w:sz w:val="20"/>
                <w:szCs w:val="20"/>
              </w:rPr>
            </w:pPr>
            <w:r w:rsidRPr="002169EC">
              <w:rPr>
                <w:rFonts w:ascii="Arial" w:hAnsi="Arial"/>
                <w:sz w:val="20"/>
                <w:szCs w:val="20"/>
              </w:rPr>
              <w:t xml:space="preserve">[uncapped – tbd] </w:t>
            </w:r>
          </w:p>
          <w:p w14:paraId="0425357C" w14:textId="77777777" w:rsidR="001129A7" w:rsidRPr="00EC1DAB" w:rsidRDefault="001129A7" w:rsidP="00284A08">
            <w:pPr>
              <w:jc w:val="both"/>
              <w:rPr>
                <w:rFonts w:ascii="Arial" w:hAnsi="Arial"/>
                <w:sz w:val="20"/>
                <w:szCs w:val="20"/>
                <w:highlight w:val="yellow"/>
              </w:rPr>
            </w:pPr>
          </w:p>
        </w:tc>
      </w:tr>
      <w:tr w:rsidR="00284A08" w:rsidRPr="00360490" w14:paraId="70FED12B" w14:textId="77777777" w:rsidTr="00F758FA">
        <w:tc>
          <w:tcPr>
            <w:tcW w:w="803" w:type="dxa"/>
            <w:shd w:val="clear" w:color="auto" w:fill="auto"/>
          </w:tcPr>
          <w:p w14:paraId="5DAB352E" w14:textId="77777777" w:rsidR="00284A08" w:rsidRPr="00F758FA" w:rsidRDefault="00284A08" w:rsidP="00284A08">
            <w:pPr>
              <w:rPr>
                <w:rFonts w:ascii="Arial" w:hAnsi="Arial"/>
                <w:b/>
                <w:sz w:val="20"/>
                <w:szCs w:val="20"/>
              </w:rPr>
            </w:pPr>
            <w:r w:rsidRPr="00F758FA">
              <w:rPr>
                <w:rFonts w:ascii="Arial" w:hAnsi="Arial"/>
                <w:b/>
                <w:sz w:val="20"/>
                <w:szCs w:val="20"/>
              </w:rPr>
              <w:t>20.</w:t>
            </w:r>
          </w:p>
        </w:tc>
        <w:tc>
          <w:tcPr>
            <w:tcW w:w="2514" w:type="dxa"/>
            <w:shd w:val="clear" w:color="auto" w:fill="auto"/>
          </w:tcPr>
          <w:p w14:paraId="0C240566" w14:textId="77777777" w:rsidR="00284A08" w:rsidRPr="00F758FA" w:rsidRDefault="00284A08" w:rsidP="00284A08">
            <w:pPr>
              <w:rPr>
                <w:rFonts w:ascii="Arial" w:hAnsi="Arial"/>
                <w:b/>
                <w:sz w:val="20"/>
                <w:szCs w:val="20"/>
              </w:rPr>
            </w:pPr>
            <w:r w:rsidRPr="00F758FA">
              <w:rPr>
                <w:rFonts w:ascii="Arial" w:hAnsi="Arial"/>
                <w:b/>
                <w:sz w:val="20"/>
                <w:szCs w:val="20"/>
              </w:rPr>
              <w:t>Currency</w:t>
            </w:r>
          </w:p>
        </w:tc>
        <w:tc>
          <w:tcPr>
            <w:tcW w:w="7247" w:type="dxa"/>
            <w:shd w:val="clear" w:color="auto" w:fill="auto"/>
          </w:tcPr>
          <w:p w14:paraId="5CEFCBCE" w14:textId="77777777" w:rsidR="00284A08" w:rsidRPr="00F758FA" w:rsidRDefault="00284A08" w:rsidP="00284A08">
            <w:pPr>
              <w:rPr>
                <w:rFonts w:ascii="Arial" w:hAnsi="Arial"/>
                <w:sz w:val="20"/>
                <w:szCs w:val="20"/>
              </w:rPr>
            </w:pPr>
            <w:r w:rsidRPr="00F758FA">
              <w:rPr>
                <w:rFonts w:ascii="Arial" w:hAnsi="Arial"/>
                <w:sz w:val="20"/>
                <w:szCs w:val="20"/>
              </w:rPr>
              <w:t>EUR or any other EU currenc</w:t>
            </w:r>
            <w:r w:rsidR="0049252C" w:rsidRPr="00F758FA">
              <w:rPr>
                <w:rFonts w:ascii="Arial" w:hAnsi="Arial"/>
                <w:sz w:val="20"/>
                <w:szCs w:val="20"/>
              </w:rPr>
              <w:t>y</w:t>
            </w:r>
            <w:r w:rsidRPr="00F758FA">
              <w:rPr>
                <w:rFonts w:ascii="Arial" w:hAnsi="Arial"/>
                <w:sz w:val="20"/>
                <w:szCs w:val="20"/>
              </w:rPr>
              <w:t xml:space="preserve">. </w:t>
            </w:r>
          </w:p>
          <w:p w14:paraId="766A8F0D" w14:textId="77777777" w:rsidR="00284A08" w:rsidRPr="00F758FA" w:rsidRDefault="00284A08" w:rsidP="00284A08">
            <w:pPr>
              <w:jc w:val="both"/>
              <w:rPr>
                <w:rFonts w:ascii="Arial" w:hAnsi="Arial"/>
                <w:i/>
                <w:sz w:val="20"/>
                <w:szCs w:val="20"/>
              </w:rPr>
            </w:pPr>
          </w:p>
        </w:tc>
      </w:tr>
      <w:tr w:rsidR="00284A08" w:rsidRPr="00360490" w14:paraId="0CEECEFE" w14:textId="77777777" w:rsidTr="00F758FA">
        <w:tc>
          <w:tcPr>
            <w:tcW w:w="803" w:type="dxa"/>
            <w:shd w:val="clear" w:color="auto" w:fill="auto"/>
          </w:tcPr>
          <w:p w14:paraId="7AAB4ABD" w14:textId="77777777" w:rsidR="00284A08" w:rsidRPr="00F758FA" w:rsidRDefault="00284A08" w:rsidP="00284A08">
            <w:pPr>
              <w:rPr>
                <w:rFonts w:ascii="Arial" w:hAnsi="Arial"/>
                <w:b/>
                <w:sz w:val="20"/>
                <w:szCs w:val="20"/>
              </w:rPr>
            </w:pPr>
            <w:r w:rsidRPr="00F758FA">
              <w:rPr>
                <w:rFonts w:ascii="Arial" w:hAnsi="Arial"/>
                <w:b/>
                <w:sz w:val="20"/>
                <w:szCs w:val="20"/>
              </w:rPr>
              <w:t>21.</w:t>
            </w:r>
          </w:p>
        </w:tc>
        <w:tc>
          <w:tcPr>
            <w:tcW w:w="2514" w:type="dxa"/>
            <w:shd w:val="clear" w:color="auto" w:fill="auto"/>
          </w:tcPr>
          <w:p w14:paraId="185F3910" w14:textId="77777777" w:rsidR="00284A08" w:rsidRPr="00F758FA" w:rsidRDefault="00284A08" w:rsidP="00284A08">
            <w:pPr>
              <w:rPr>
                <w:rFonts w:ascii="Arial" w:hAnsi="Arial"/>
                <w:b/>
                <w:sz w:val="20"/>
                <w:szCs w:val="20"/>
              </w:rPr>
            </w:pPr>
            <w:r w:rsidRPr="00F758FA">
              <w:rPr>
                <w:rFonts w:ascii="Arial" w:hAnsi="Arial"/>
                <w:b/>
                <w:sz w:val="20"/>
                <w:szCs w:val="20"/>
              </w:rPr>
              <w:t xml:space="preserve">Events triggering  the use of the EU </w:t>
            </w:r>
            <w:r w:rsidRPr="00F758FA">
              <w:rPr>
                <w:rFonts w:ascii="Arial" w:hAnsi="Arial"/>
                <w:b/>
                <w:sz w:val="20"/>
                <w:szCs w:val="20"/>
              </w:rPr>
              <w:lastRenderedPageBreak/>
              <w:t>Guarantee</w:t>
            </w:r>
          </w:p>
        </w:tc>
        <w:tc>
          <w:tcPr>
            <w:tcW w:w="7247" w:type="dxa"/>
            <w:shd w:val="clear" w:color="auto" w:fill="auto"/>
          </w:tcPr>
          <w:p w14:paraId="23E94125" w14:textId="6AABB3D4" w:rsidR="00284A08" w:rsidRPr="00F758FA" w:rsidRDefault="00284A08" w:rsidP="00284A08">
            <w:pPr>
              <w:rPr>
                <w:rFonts w:ascii="Arial" w:hAnsi="Arial"/>
                <w:sz w:val="20"/>
                <w:szCs w:val="20"/>
              </w:rPr>
            </w:pPr>
            <w:r w:rsidRPr="00F758FA">
              <w:rPr>
                <w:rFonts w:ascii="Arial" w:hAnsi="Arial"/>
                <w:sz w:val="20"/>
                <w:szCs w:val="20"/>
              </w:rPr>
              <w:lastRenderedPageBreak/>
              <w:t xml:space="preserve">To be determined in the guarantee agreement, in accordance with Article 14.2 and Article 16 of the InvestEU regulation. </w:t>
            </w:r>
          </w:p>
          <w:p w14:paraId="4674E129" w14:textId="77777777" w:rsidR="00284A08" w:rsidRPr="00F758FA" w:rsidRDefault="00284A08" w:rsidP="00284A08">
            <w:pPr>
              <w:rPr>
                <w:rFonts w:ascii="Arial" w:hAnsi="Arial"/>
                <w:i/>
                <w:sz w:val="20"/>
                <w:szCs w:val="20"/>
              </w:rPr>
            </w:pPr>
          </w:p>
        </w:tc>
      </w:tr>
      <w:tr w:rsidR="00284A08" w:rsidRPr="00360490" w14:paraId="6A313110" w14:textId="77777777" w:rsidTr="00284A08">
        <w:tc>
          <w:tcPr>
            <w:tcW w:w="803" w:type="dxa"/>
          </w:tcPr>
          <w:p w14:paraId="4087ABBB" w14:textId="77777777" w:rsidR="00284A08" w:rsidRPr="00F758FA" w:rsidRDefault="00284A08" w:rsidP="00284A08">
            <w:pPr>
              <w:rPr>
                <w:rFonts w:ascii="Arial" w:hAnsi="Arial"/>
                <w:b/>
                <w:sz w:val="20"/>
                <w:szCs w:val="20"/>
              </w:rPr>
            </w:pPr>
            <w:r w:rsidRPr="00F758FA">
              <w:rPr>
                <w:rFonts w:ascii="Arial" w:hAnsi="Arial"/>
                <w:b/>
                <w:sz w:val="20"/>
                <w:szCs w:val="20"/>
              </w:rPr>
              <w:lastRenderedPageBreak/>
              <w:t>22.</w:t>
            </w:r>
          </w:p>
        </w:tc>
        <w:tc>
          <w:tcPr>
            <w:tcW w:w="2514" w:type="dxa"/>
          </w:tcPr>
          <w:p w14:paraId="2FD40D63" w14:textId="77777777" w:rsidR="00284A08" w:rsidRPr="00F758FA" w:rsidRDefault="00284A08" w:rsidP="00284A08">
            <w:pPr>
              <w:rPr>
                <w:rFonts w:ascii="Arial" w:hAnsi="Arial"/>
                <w:b/>
                <w:sz w:val="20"/>
                <w:szCs w:val="20"/>
              </w:rPr>
            </w:pPr>
            <w:r w:rsidRPr="00F758FA">
              <w:rPr>
                <w:rFonts w:ascii="Arial" w:hAnsi="Arial"/>
                <w:b/>
                <w:sz w:val="20"/>
                <w:szCs w:val="20"/>
              </w:rPr>
              <w:t>State Aid considerations</w:t>
            </w:r>
          </w:p>
        </w:tc>
        <w:tc>
          <w:tcPr>
            <w:tcW w:w="7247" w:type="dxa"/>
            <w:shd w:val="clear" w:color="auto" w:fill="auto"/>
          </w:tcPr>
          <w:p w14:paraId="75124A61" w14:textId="6E5B8206" w:rsidR="00284A08" w:rsidRPr="00F758FA" w:rsidRDefault="00284A08" w:rsidP="00284A08">
            <w:pPr>
              <w:rPr>
                <w:rFonts w:ascii="Arial" w:hAnsi="Arial"/>
                <w:sz w:val="20"/>
                <w:szCs w:val="20"/>
              </w:rPr>
            </w:pPr>
            <w:r w:rsidRPr="00F758FA">
              <w:rPr>
                <w:rFonts w:ascii="Arial" w:hAnsi="Arial"/>
                <w:sz w:val="20"/>
                <w:szCs w:val="20"/>
              </w:rPr>
              <w:t>In accordance with Article 209 (1) (c) of the Financial Regulation, the financial product described has to be consist</w:t>
            </w:r>
            <w:r w:rsidR="000C3C6F" w:rsidRPr="00F758FA">
              <w:rPr>
                <w:rFonts w:ascii="Arial" w:hAnsi="Arial"/>
                <w:sz w:val="20"/>
                <w:szCs w:val="20"/>
              </w:rPr>
              <w:t>e</w:t>
            </w:r>
            <w:r w:rsidRPr="00F758FA">
              <w:rPr>
                <w:rFonts w:ascii="Arial" w:hAnsi="Arial"/>
                <w:sz w:val="20"/>
                <w:szCs w:val="20"/>
              </w:rPr>
              <w:t xml:space="preserve">nt with State Aid rules. </w:t>
            </w:r>
          </w:p>
          <w:p w14:paraId="59BC6D03" w14:textId="77777777" w:rsidR="00284A08" w:rsidRPr="00F758FA" w:rsidRDefault="00284A08" w:rsidP="00284A08">
            <w:pPr>
              <w:rPr>
                <w:rFonts w:ascii="Arial" w:hAnsi="Arial"/>
                <w:sz w:val="20"/>
                <w:szCs w:val="20"/>
              </w:rPr>
            </w:pPr>
          </w:p>
          <w:p w14:paraId="2CAEFD02" w14:textId="77777777" w:rsidR="00284A08" w:rsidRPr="00F758FA" w:rsidRDefault="00284A08" w:rsidP="00284A08">
            <w:pPr>
              <w:rPr>
                <w:rFonts w:ascii="Arial" w:hAnsi="Arial"/>
                <w:sz w:val="20"/>
                <w:szCs w:val="20"/>
              </w:rPr>
            </w:pPr>
            <w:r w:rsidRPr="00F758FA">
              <w:rPr>
                <w:rFonts w:ascii="Arial" w:hAnsi="Arial"/>
                <w:sz w:val="20"/>
                <w:szCs w:val="20"/>
              </w:rPr>
              <w:t>In case of state resources intervening in the implementation of the product described in this fiche, the dedicated GBER part will apply.</w:t>
            </w:r>
          </w:p>
          <w:p w14:paraId="502D054D" w14:textId="77777777" w:rsidR="00284A08" w:rsidRPr="00F758FA" w:rsidRDefault="00284A08" w:rsidP="00284A08">
            <w:pPr>
              <w:rPr>
                <w:rFonts w:ascii="Arial" w:hAnsi="Arial"/>
                <w:sz w:val="20"/>
                <w:szCs w:val="20"/>
              </w:rPr>
            </w:pPr>
          </w:p>
        </w:tc>
      </w:tr>
      <w:tr w:rsidR="00284A08" w:rsidRPr="00360490" w14:paraId="4F62D215" w14:textId="77777777" w:rsidTr="00687765">
        <w:trPr>
          <w:trHeight w:val="483"/>
        </w:trPr>
        <w:tc>
          <w:tcPr>
            <w:tcW w:w="803" w:type="dxa"/>
            <w:shd w:val="clear" w:color="auto" w:fill="FFFFFF" w:themeFill="background1"/>
          </w:tcPr>
          <w:p w14:paraId="7C3427B3" w14:textId="77777777" w:rsidR="00284A08" w:rsidRPr="00360490" w:rsidRDefault="00284A08" w:rsidP="00284A08">
            <w:pPr>
              <w:rPr>
                <w:rFonts w:ascii="Arial" w:hAnsi="Arial"/>
                <w:b/>
                <w:sz w:val="20"/>
                <w:szCs w:val="20"/>
              </w:rPr>
            </w:pPr>
            <w:r w:rsidRPr="00360490">
              <w:rPr>
                <w:rFonts w:ascii="Arial" w:hAnsi="Arial"/>
                <w:b/>
                <w:sz w:val="20"/>
                <w:szCs w:val="20"/>
              </w:rPr>
              <w:t>23.</w:t>
            </w:r>
          </w:p>
        </w:tc>
        <w:tc>
          <w:tcPr>
            <w:tcW w:w="2514" w:type="dxa"/>
            <w:shd w:val="clear" w:color="auto" w:fill="FFFFFF" w:themeFill="background1"/>
          </w:tcPr>
          <w:p w14:paraId="77E3E5A6" w14:textId="77777777" w:rsidR="00284A08" w:rsidRPr="00360490" w:rsidRDefault="00284A08" w:rsidP="00284A08">
            <w:pPr>
              <w:rPr>
                <w:rFonts w:ascii="Arial" w:hAnsi="Arial"/>
                <w:b/>
                <w:sz w:val="20"/>
                <w:szCs w:val="20"/>
              </w:rPr>
            </w:pPr>
            <w:r w:rsidRPr="00360490">
              <w:rPr>
                <w:rFonts w:ascii="Arial" w:hAnsi="Arial"/>
                <w:b/>
                <w:sz w:val="20"/>
                <w:szCs w:val="20"/>
              </w:rPr>
              <w:t>Reporting</w:t>
            </w:r>
          </w:p>
        </w:tc>
        <w:tc>
          <w:tcPr>
            <w:tcW w:w="7247" w:type="dxa"/>
            <w:shd w:val="clear" w:color="auto" w:fill="FFFFFF" w:themeFill="background1"/>
          </w:tcPr>
          <w:p w14:paraId="5558EC01" w14:textId="2CA1FC41" w:rsidR="00284A08" w:rsidRPr="00687765" w:rsidRDefault="00284A08" w:rsidP="00284A08">
            <w:pPr>
              <w:rPr>
                <w:rFonts w:ascii="Arial" w:hAnsi="Arial"/>
                <w:sz w:val="20"/>
                <w:szCs w:val="20"/>
              </w:rPr>
            </w:pPr>
            <w:r w:rsidRPr="00360490">
              <w:rPr>
                <w:rFonts w:ascii="Arial" w:hAnsi="Arial"/>
                <w:sz w:val="20"/>
                <w:szCs w:val="20"/>
              </w:rPr>
              <w:t>Indicators</w:t>
            </w:r>
            <w:r w:rsidR="0049252C">
              <w:rPr>
                <w:rFonts w:ascii="Arial" w:hAnsi="Arial"/>
                <w:sz w:val="20"/>
                <w:szCs w:val="20"/>
              </w:rPr>
              <w:t xml:space="preserve"> </w:t>
            </w:r>
            <w:r>
              <w:rPr>
                <w:rFonts w:ascii="Arial" w:hAnsi="Arial"/>
                <w:sz w:val="20"/>
                <w:szCs w:val="20"/>
              </w:rPr>
              <w:t>[to be developed]</w:t>
            </w:r>
            <w:bookmarkStart w:id="0" w:name="_GoBack"/>
            <w:bookmarkEnd w:id="0"/>
          </w:p>
        </w:tc>
      </w:tr>
      <w:tr w:rsidR="00284A08" w:rsidRPr="0091475F" w14:paraId="490454E3" w14:textId="77777777" w:rsidTr="00F758FA">
        <w:tc>
          <w:tcPr>
            <w:tcW w:w="803" w:type="dxa"/>
            <w:shd w:val="clear" w:color="auto" w:fill="auto"/>
          </w:tcPr>
          <w:p w14:paraId="1D2242CD" w14:textId="77777777" w:rsidR="00284A08" w:rsidRPr="00360490" w:rsidRDefault="00284A08" w:rsidP="00284A08">
            <w:pPr>
              <w:rPr>
                <w:rFonts w:ascii="Arial" w:hAnsi="Arial"/>
                <w:b/>
                <w:sz w:val="20"/>
                <w:szCs w:val="20"/>
              </w:rPr>
            </w:pPr>
            <w:r w:rsidRPr="00360490">
              <w:rPr>
                <w:rFonts w:ascii="Arial" w:hAnsi="Arial"/>
                <w:b/>
                <w:sz w:val="20"/>
                <w:szCs w:val="20"/>
              </w:rPr>
              <w:t>24.</w:t>
            </w:r>
          </w:p>
        </w:tc>
        <w:tc>
          <w:tcPr>
            <w:tcW w:w="2514" w:type="dxa"/>
            <w:shd w:val="clear" w:color="auto" w:fill="auto"/>
          </w:tcPr>
          <w:p w14:paraId="46697DC7" w14:textId="77777777" w:rsidR="00284A08" w:rsidRPr="00360490" w:rsidRDefault="00284A08" w:rsidP="00284A08">
            <w:pPr>
              <w:rPr>
                <w:rFonts w:ascii="Arial" w:hAnsi="Arial"/>
                <w:b/>
                <w:sz w:val="20"/>
                <w:szCs w:val="20"/>
              </w:rPr>
            </w:pPr>
            <w:r w:rsidRPr="00360490">
              <w:rPr>
                <w:rFonts w:ascii="Arial" w:hAnsi="Arial"/>
                <w:b/>
                <w:sz w:val="20"/>
                <w:szCs w:val="20"/>
              </w:rPr>
              <w:t>Other</w:t>
            </w:r>
          </w:p>
        </w:tc>
        <w:tc>
          <w:tcPr>
            <w:tcW w:w="7247" w:type="dxa"/>
            <w:shd w:val="clear" w:color="auto" w:fill="auto"/>
          </w:tcPr>
          <w:p w14:paraId="580B03D3" w14:textId="77777777" w:rsidR="00284A08" w:rsidRPr="00360490" w:rsidRDefault="00284A08" w:rsidP="00284A08">
            <w:pPr>
              <w:rPr>
                <w:rFonts w:ascii="Arial" w:hAnsi="Arial"/>
                <w:i/>
                <w:sz w:val="20"/>
                <w:szCs w:val="20"/>
              </w:rPr>
            </w:pPr>
            <w:r w:rsidRPr="00360490">
              <w:rPr>
                <w:rFonts w:ascii="Arial" w:hAnsi="Arial"/>
                <w:i/>
                <w:sz w:val="20"/>
                <w:szCs w:val="20"/>
              </w:rPr>
              <w:t>Additional elements will be added at the later stage of the work of the product, such as:</w:t>
            </w:r>
          </w:p>
          <w:p w14:paraId="399E88E6" w14:textId="77777777" w:rsidR="00284A08" w:rsidRPr="00360490" w:rsidRDefault="00284A08" w:rsidP="00284A08">
            <w:pPr>
              <w:rPr>
                <w:rFonts w:ascii="Arial" w:hAnsi="Arial"/>
                <w:i/>
                <w:sz w:val="20"/>
                <w:szCs w:val="20"/>
              </w:rPr>
            </w:pPr>
            <w:r w:rsidRPr="00360490">
              <w:rPr>
                <w:rFonts w:ascii="Arial" w:hAnsi="Arial"/>
                <w:i/>
                <w:sz w:val="20"/>
                <w:szCs w:val="20"/>
              </w:rPr>
              <w:t>- Selection and approval process by Implementing partner (will there be an open or closed call, what will be the main selection criteria)</w:t>
            </w:r>
          </w:p>
          <w:p w14:paraId="11F6B1D4" w14:textId="77777777" w:rsidR="00284A08" w:rsidRPr="00360490" w:rsidRDefault="00284A08" w:rsidP="00284A08">
            <w:pPr>
              <w:rPr>
                <w:rFonts w:ascii="Arial" w:hAnsi="Arial"/>
                <w:i/>
                <w:sz w:val="20"/>
                <w:szCs w:val="20"/>
              </w:rPr>
            </w:pPr>
            <w:r w:rsidRPr="00360490">
              <w:rPr>
                <w:rFonts w:ascii="Arial" w:hAnsi="Arial"/>
                <w:i/>
                <w:sz w:val="20"/>
                <w:szCs w:val="20"/>
              </w:rPr>
              <w:t>- Definitions (specific to the product)</w:t>
            </w:r>
          </w:p>
          <w:p w14:paraId="4010D66D" w14:textId="77777777" w:rsidR="00284A08" w:rsidRPr="00360490" w:rsidRDefault="00284A08" w:rsidP="00284A08">
            <w:pPr>
              <w:rPr>
                <w:rFonts w:ascii="Arial" w:hAnsi="Arial"/>
                <w:i/>
                <w:sz w:val="20"/>
                <w:szCs w:val="20"/>
              </w:rPr>
            </w:pPr>
            <w:r w:rsidRPr="00360490">
              <w:rPr>
                <w:rFonts w:ascii="Arial" w:hAnsi="Arial"/>
                <w:i/>
                <w:sz w:val="20"/>
                <w:szCs w:val="20"/>
              </w:rPr>
              <w:t>- Funding (if needed – i.e. for equity products)</w:t>
            </w:r>
          </w:p>
          <w:p w14:paraId="60FEE737" w14:textId="77777777" w:rsidR="00284A08" w:rsidRPr="00360490" w:rsidRDefault="00284A08" w:rsidP="00284A08">
            <w:pPr>
              <w:rPr>
                <w:rFonts w:ascii="Arial" w:hAnsi="Arial"/>
                <w:i/>
                <w:sz w:val="20"/>
                <w:szCs w:val="20"/>
              </w:rPr>
            </w:pPr>
            <w:r w:rsidRPr="00360490">
              <w:rPr>
                <w:rFonts w:ascii="Arial" w:hAnsi="Arial"/>
                <w:i/>
                <w:sz w:val="20"/>
                <w:szCs w:val="20"/>
              </w:rPr>
              <w:t>- Treatment of revenues/repayments</w:t>
            </w:r>
          </w:p>
          <w:p w14:paraId="2DF91E18" w14:textId="77777777" w:rsidR="00284A08" w:rsidRDefault="00284A08" w:rsidP="00284A08">
            <w:pPr>
              <w:rPr>
                <w:rFonts w:ascii="Arial" w:hAnsi="Arial"/>
                <w:i/>
                <w:sz w:val="20"/>
                <w:szCs w:val="20"/>
              </w:rPr>
            </w:pPr>
            <w:r w:rsidRPr="00360490">
              <w:rPr>
                <w:rFonts w:ascii="Arial" w:hAnsi="Arial"/>
                <w:i/>
                <w:sz w:val="20"/>
                <w:szCs w:val="20"/>
              </w:rPr>
              <w:t>- Timing / absorption capacity</w:t>
            </w:r>
          </w:p>
        </w:tc>
      </w:tr>
    </w:tbl>
    <w:p w14:paraId="46395DF5" w14:textId="77777777" w:rsidR="003B322F" w:rsidRDefault="003B322F" w:rsidP="004F7177">
      <w:pPr>
        <w:jc w:val="center"/>
        <w:rPr>
          <w:b/>
          <w:sz w:val="24"/>
          <w:szCs w:val="24"/>
        </w:rPr>
      </w:pPr>
    </w:p>
    <w:p w14:paraId="21D66383" w14:textId="77777777" w:rsidR="00766559" w:rsidRDefault="00766559" w:rsidP="004F7177">
      <w:pPr>
        <w:jc w:val="center"/>
        <w:rPr>
          <w:b/>
          <w:sz w:val="24"/>
          <w:szCs w:val="24"/>
        </w:rPr>
      </w:pPr>
    </w:p>
    <w:p w14:paraId="38B45475" w14:textId="77777777" w:rsidR="00766559" w:rsidRDefault="00766559" w:rsidP="004F7177">
      <w:pPr>
        <w:jc w:val="center"/>
        <w:rPr>
          <w:b/>
          <w:sz w:val="24"/>
          <w:szCs w:val="24"/>
        </w:rPr>
      </w:pPr>
    </w:p>
    <w:p w14:paraId="7918EB5C" w14:textId="77777777" w:rsidR="00766559" w:rsidRDefault="00766559" w:rsidP="004F7177">
      <w:pPr>
        <w:jc w:val="center"/>
        <w:rPr>
          <w:b/>
          <w:sz w:val="24"/>
          <w:szCs w:val="24"/>
        </w:rPr>
      </w:pPr>
    </w:p>
    <w:p w14:paraId="4C0A26FA" w14:textId="77777777" w:rsidR="00766559" w:rsidRDefault="00766559" w:rsidP="004F7177">
      <w:pPr>
        <w:jc w:val="center"/>
        <w:rPr>
          <w:b/>
          <w:sz w:val="24"/>
          <w:szCs w:val="24"/>
        </w:rPr>
      </w:pPr>
    </w:p>
    <w:p w14:paraId="3C8616B8" w14:textId="77777777" w:rsidR="00766559" w:rsidRDefault="00766559" w:rsidP="004F7177">
      <w:pPr>
        <w:jc w:val="center"/>
        <w:rPr>
          <w:b/>
          <w:sz w:val="24"/>
          <w:szCs w:val="24"/>
        </w:rPr>
      </w:pPr>
    </w:p>
    <w:p w14:paraId="7F2258C5" w14:textId="77777777" w:rsidR="00766559" w:rsidRDefault="00766559" w:rsidP="004F7177">
      <w:pPr>
        <w:jc w:val="center"/>
        <w:rPr>
          <w:b/>
          <w:sz w:val="24"/>
          <w:szCs w:val="24"/>
        </w:rPr>
      </w:pPr>
    </w:p>
    <w:p w14:paraId="63B48C27" w14:textId="77777777" w:rsidR="00766559" w:rsidRDefault="00766559" w:rsidP="004F7177">
      <w:pPr>
        <w:jc w:val="center"/>
        <w:rPr>
          <w:b/>
          <w:sz w:val="24"/>
          <w:szCs w:val="24"/>
        </w:rPr>
      </w:pPr>
    </w:p>
    <w:p w14:paraId="2071A77C" w14:textId="77777777" w:rsidR="00766559" w:rsidRDefault="00766559" w:rsidP="004F7177">
      <w:pPr>
        <w:jc w:val="center"/>
        <w:rPr>
          <w:b/>
          <w:sz w:val="24"/>
          <w:szCs w:val="24"/>
        </w:rPr>
      </w:pPr>
    </w:p>
    <w:p w14:paraId="4333086E" w14:textId="693CBAFD" w:rsidR="006D22A0" w:rsidRDefault="006D22A0" w:rsidP="004F7177">
      <w:pPr>
        <w:jc w:val="center"/>
        <w:rPr>
          <w:b/>
          <w:sz w:val="24"/>
          <w:szCs w:val="24"/>
        </w:rPr>
      </w:pPr>
      <w:r>
        <w:rPr>
          <w:b/>
          <w:sz w:val="24"/>
          <w:szCs w:val="24"/>
        </w:rPr>
        <w:t>Annex I</w:t>
      </w:r>
    </w:p>
    <w:p w14:paraId="17D72946" w14:textId="77777777" w:rsidR="006D22A0" w:rsidRDefault="006D22A0" w:rsidP="006D22A0">
      <w:pPr>
        <w:tabs>
          <w:tab w:val="left" w:pos="426"/>
        </w:tabs>
        <w:spacing w:after="120"/>
        <w:jc w:val="both"/>
        <w:rPr>
          <w:rFonts w:cs="Calibri"/>
          <w:noProof/>
          <w:sz w:val="24"/>
          <w:szCs w:val="24"/>
        </w:rPr>
      </w:pPr>
      <w:r>
        <w:rPr>
          <w:rFonts w:cs="Calibri"/>
          <w:noProof/>
          <w:sz w:val="24"/>
          <w:szCs w:val="24"/>
        </w:rPr>
        <w:t xml:space="preserve">Final Recipient must comply with at least one of the </w:t>
      </w:r>
      <w:r w:rsidRPr="006D22A0">
        <w:rPr>
          <w:rFonts w:cs="Calibri"/>
          <w:b/>
          <w:noProof/>
          <w:sz w:val="24"/>
          <w:szCs w:val="24"/>
        </w:rPr>
        <w:t>innovation eligibility criteria</w:t>
      </w:r>
      <w:r>
        <w:rPr>
          <w:rFonts w:cs="Calibri"/>
          <w:noProof/>
          <w:sz w:val="24"/>
          <w:szCs w:val="24"/>
        </w:rPr>
        <w:t>:</w:t>
      </w:r>
    </w:p>
    <w:p w14:paraId="34571695" w14:textId="77777777" w:rsidR="006D22A0" w:rsidRDefault="006D22A0" w:rsidP="006D22A0">
      <w:pPr>
        <w:numPr>
          <w:ilvl w:val="0"/>
          <w:numId w:val="20"/>
        </w:numPr>
        <w:spacing w:after="120"/>
        <w:ind w:left="1276" w:hanging="567"/>
        <w:jc w:val="both"/>
        <w:rPr>
          <w:rFonts w:cs="Times New Roman"/>
          <w:noProof/>
          <w:sz w:val="24"/>
          <w:szCs w:val="24"/>
        </w:rPr>
      </w:pPr>
      <w:r>
        <w:rPr>
          <w:noProof/>
          <w:sz w:val="24"/>
          <w:szCs w:val="24"/>
        </w:rPr>
        <w:t xml:space="preserve">The </w:t>
      </w:r>
      <w:r>
        <w:rPr>
          <w:rFonts w:cs="Calibri"/>
          <w:noProof/>
          <w:sz w:val="24"/>
          <w:szCs w:val="24"/>
        </w:rPr>
        <w:t xml:space="preserve">Final Recipient is an SME or a Small Mid-cap that </w:t>
      </w:r>
      <w:r>
        <w:rPr>
          <w:noProof/>
          <w:sz w:val="24"/>
          <w:szCs w:val="24"/>
        </w:rPr>
        <w:t xml:space="preserve">intends to use the </w:t>
      </w:r>
      <w:r>
        <w:rPr>
          <w:rFonts w:cs="Calibri"/>
          <w:noProof/>
          <w:sz w:val="24"/>
          <w:szCs w:val="24"/>
        </w:rPr>
        <w:t>Final Recipient</w:t>
      </w:r>
      <w:r>
        <w:rPr>
          <w:noProof/>
          <w:sz w:val="24"/>
          <w:szCs w:val="24"/>
        </w:rPr>
        <w:t xml:space="preserve"> Transaction to invest in producing or developing or implementing new or substantially improved (i) products, processes or services, or (ii)  production or delivery methods, or (iii) organisational or process innovation including business models that are innovative</w:t>
      </w:r>
      <w:r>
        <w:rPr>
          <w:noProof/>
          <w:sz w:val="24"/>
          <w:szCs w:val="24"/>
          <w:vertAlign w:val="superscript"/>
        </w:rPr>
        <w:footnoteReference w:id="8"/>
      </w:r>
      <w:r>
        <w:rPr>
          <w:noProof/>
          <w:sz w:val="24"/>
          <w:szCs w:val="24"/>
        </w:rPr>
        <w:t xml:space="preserve"> and where there is a risk of technological or industrial or business failure and where two thirds of the costs are intangible and cannot be collateralised for a loan as evidenced by an evaluation carried out by an external expert , or</w:t>
      </w:r>
    </w:p>
    <w:p w14:paraId="0C0A15CB" w14:textId="77777777" w:rsidR="006D22A0" w:rsidRDefault="006D22A0" w:rsidP="006D22A0">
      <w:pPr>
        <w:numPr>
          <w:ilvl w:val="0"/>
          <w:numId w:val="20"/>
        </w:numPr>
        <w:spacing w:after="120"/>
        <w:ind w:left="1276" w:hanging="567"/>
        <w:jc w:val="both"/>
        <w:rPr>
          <w:noProof/>
          <w:sz w:val="24"/>
          <w:szCs w:val="24"/>
        </w:rPr>
      </w:pPr>
      <w:r>
        <w:rPr>
          <w:noProof/>
          <w:sz w:val="24"/>
          <w:szCs w:val="24"/>
        </w:rPr>
        <w:lastRenderedPageBreak/>
        <w:t xml:space="preserve">The </w:t>
      </w:r>
      <w:r>
        <w:rPr>
          <w:rFonts w:cs="Calibri"/>
          <w:noProof/>
          <w:sz w:val="24"/>
          <w:szCs w:val="24"/>
        </w:rPr>
        <w:t xml:space="preserve">Final Recipient </w:t>
      </w:r>
      <w:r>
        <w:rPr>
          <w:noProof/>
          <w:sz w:val="24"/>
          <w:szCs w:val="24"/>
        </w:rPr>
        <w:t>is a “fast</w:t>
      </w:r>
      <w:r>
        <w:rPr>
          <w:iCs/>
          <w:noProof/>
          <w:sz w:val="24"/>
          <w:szCs w:val="24"/>
        </w:rPr>
        <w:t>-growing enterprise</w:t>
      </w:r>
      <w:r>
        <w:rPr>
          <w:noProof/>
          <w:sz w:val="24"/>
          <w:szCs w:val="24"/>
        </w:rPr>
        <w:t xml:space="preserve">”, which is </w:t>
      </w:r>
      <w:r>
        <w:rPr>
          <w:iCs/>
          <w:noProof/>
          <w:sz w:val="24"/>
          <w:szCs w:val="24"/>
        </w:rPr>
        <w:t>an SME or a Small Mid-cap operating in a market for less than 12 years following its first commercial sale and with an average annualised endogenous growth in employees or in turnover greater than 20% a year, over a three-year period, and with ten or more employees at the beginning of the observation period, or</w:t>
      </w:r>
    </w:p>
    <w:p w14:paraId="79F2C10B" w14:textId="77777777" w:rsidR="006D22A0" w:rsidRDefault="006D22A0" w:rsidP="006D22A0">
      <w:pPr>
        <w:numPr>
          <w:ilvl w:val="0"/>
          <w:numId w:val="20"/>
        </w:numPr>
        <w:spacing w:after="120"/>
        <w:ind w:left="1276" w:hanging="567"/>
        <w:jc w:val="both"/>
        <w:rPr>
          <w:noProof/>
          <w:sz w:val="24"/>
          <w:szCs w:val="24"/>
        </w:rPr>
      </w:pPr>
      <w:r>
        <w:rPr>
          <w:noProof/>
          <w:sz w:val="24"/>
          <w:szCs w:val="24"/>
        </w:rPr>
        <w:t xml:space="preserve">The </w:t>
      </w:r>
      <w:r>
        <w:rPr>
          <w:rFonts w:cs="Calibri"/>
          <w:noProof/>
          <w:sz w:val="24"/>
          <w:szCs w:val="24"/>
        </w:rPr>
        <w:t xml:space="preserve">Final Recipient is an SME or a Small Mid-cap that </w:t>
      </w:r>
      <w:r>
        <w:rPr>
          <w:noProof/>
          <w:sz w:val="24"/>
          <w:szCs w:val="24"/>
        </w:rPr>
        <w:t>shall have a significant innovation potential or be an “R&amp;I-intensive enterprise”, by satisfying at least one of the following conditions:</w:t>
      </w:r>
    </w:p>
    <w:p w14:paraId="70E4BAF4" w14:textId="77777777" w:rsidR="006D22A0" w:rsidRDefault="006D22A0" w:rsidP="006D22A0">
      <w:pPr>
        <w:numPr>
          <w:ilvl w:val="2"/>
          <w:numId w:val="21"/>
        </w:numPr>
        <w:autoSpaceDE w:val="0"/>
        <w:autoSpaceDN w:val="0"/>
        <w:adjustRightInd w:val="0"/>
        <w:spacing w:after="120" w:line="240" w:lineRule="auto"/>
        <w:ind w:left="1843"/>
        <w:jc w:val="both"/>
        <w:rPr>
          <w:noProof/>
          <w:sz w:val="24"/>
          <w:szCs w:val="24"/>
        </w:rPr>
      </w:pPr>
      <w:r>
        <w:rPr>
          <w:noProof/>
          <w:sz w:val="24"/>
          <w:szCs w:val="24"/>
        </w:rPr>
        <w:t xml:space="preserve">The </w:t>
      </w:r>
      <w:r>
        <w:rPr>
          <w:rFonts w:cs="Calibri"/>
          <w:noProof/>
          <w:sz w:val="24"/>
          <w:szCs w:val="24"/>
        </w:rPr>
        <w:t xml:space="preserve">Final Recipient’s </w:t>
      </w:r>
      <w:r>
        <w:rPr>
          <w:noProof/>
          <w:sz w:val="24"/>
          <w:szCs w:val="24"/>
        </w:rPr>
        <w:t xml:space="preserve">R&amp;I annual expenses are equal or exceed 20% of the </w:t>
      </w:r>
      <w:r>
        <w:rPr>
          <w:rFonts w:cs="Calibri"/>
          <w:noProof/>
          <w:sz w:val="24"/>
          <w:szCs w:val="24"/>
        </w:rPr>
        <w:t>Final Recipient</w:t>
      </w:r>
      <w:r>
        <w:rPr>
          <w:noProof/>
          <w:sz w:val="24"/>
          <w:szCs w:val="24"/>
        </w:rPr>
        <w:t xml:space="preserve"> Transaction amount as per </w:t>
      </w:r>
      <w:r>
        <w:rPr>
          <w:rFonts w:cs="Calibri"/>
          <w:noProof/>
          <w:sz w:val="24"/>
          <w:szCs w:val="24"/>
        </w:rPr>
        <w:t xml:space="preserve">Final Recipient’s </w:t>
      </w:r>
      <w:r>
        <w:rPr>
          <w:noProof/>
          <w:sz w:val="24"/>
          <w:szCs w:val="24"/>
        </w:rPr>
        <w:t>latest statutory financial statements, under the condition that the Final Recipient’s business plan indicates an increase of its R&amp;I expenses at least equal to the Financial Recipient Transaction amount; or</w:t>
      </w:r>
    </w:p>
    <w:p w14:paraId="11E51B81" w14:textId="77777777" w:rsidR="006D22A0" w:rsidRDefault="006D22A0" w:rsidP="006D22A0">
      <w:pPr>
        <w:numPr>
          <w:ilvl w:val="2"/>
          <w:numId w:val="21"/>
        </w:numPr>
        <w:autoSpaceDE w:val="0"/>
        <w:autoSpaceDN w:val="0"/>
        <w:adjustRightInd w:val="0"/>
        <w:spacing w:after="120" w:line="240" w:lineRule="auto"/>
        <w:ind w:left="1843" w:hanging="425"/>
        <w:jc w:val="both"/>
        <w:rPr>
          <w:noProof/>
          <w:sz w:val="24"/>
          <w:szCs w:val="24"/>
        </w:rPr>
      </w:pPr>
      <w:r>
        <w:rPr>
          <w:noProof/>
          <w:sz w:val="24"/>
          <w:szCs w:val="24"/>
        </w:rPr>
        <w:t xml:space="preserve">The </w:t>
      </w:r>
      <w:r>
        <w:rPr>
          <w:rFonts w:cs="Calibri"/>
          <w:noProof/>
          <w:sz w:val="24"/>
          <w:szCs w:val="24"/>
        </w:rPr>
        <w:t xml:space="preserve">Final Recipient </w:t>
      </w:r>
      <w:r>
        <w:rPr>
          <w:noProof/>
          <w:sz w:val="24"/>
          <w:szCs w:val="24"/>
        </w:rPr>
        <w:t xml:space="preserve">undertakes to spend an amount at least equal to 80% of the </w:t>
      </w:r>
      <w:r>
        <w:rPr>
          <w:rFonts w:cs="Calibri"/>
          <w:noProof/>
          <w:sz w:val="24"/>
          <w:szCs w:val="24"/>
        </w:rPr>
        <w:t>Final Recipient</w:t>
      </w:r>
      <w:r>
        <w:rPr>
          <w:noProof/>
          <w:sz w:val="24"/>
          <w:szCs w:val="24"/>
        </w:rPr>
        <w:t xml:space="preserve"> Transaction amount on R&amp;I activities as indicated in its business plan and the remainder on costs necessary to enable such activities ; or</w:t>
      </w:r>
    </w:p>
    <w:p w14:paraId="1D5CD6E4" w14:textId="77777777" w:rsidR="006D22A0" w:rsidRDefault="006D22A0" w:rsidP="006D22A0">
      <w:pPr>
        <w:numPr>
          <w:ilvl w:val="2"/>
          <w:numId w:val="21"/>
        </w:numPr>
        <w:autoSpaceDE w:val="0"/>
        <w:autoSpaceDN w:val="0"/>
        <w:adjustRightInd w:val="0"/>
        <w:spacing w:after="120" w:line="240" w:lineRule="auto"/>
        <w:ind w:left="1843" w:hanging="425"/>
        <w:jc w:val="both"/>
        <w:rPr>
          <w:noProof/>
          <w:sz w:val="24"/>
          <w:szCs w:val="24"/>
        </w:rPr>
      </w:pPr>
      <w:r>
        <w:rPr>
          <w:noProof/>
          <w:sz w:val="24"/>
          <w:szCs w:val="24"/>
        </w:rPr>
        <w:t xml:space="preserve">The </w:t>
      </w:r>
      <w:r>
        <w:rPr>
          <w:rFonts w:cs="Calibri"/>
          <w:noProof/>
          <w:sz w:val="24"/>
          <w:szCs w:val="24"/>
        </w:rPr>
        <w:t xml:space="preserve">Final Recipient </w:t>
      </w:r>
      <w:r>
        <w:rPr>
          <w:noProof/>
          <w:sz w:val="24"/>
          <w:szCs w:val="24"/>
        </w:rPr>
        <w:t>has been formally awarded grants, loans or guarantees from European R&amp;I support schemes</w:t>
      </w:r>
      <w:r>
        <w:rPr>
          <w:noProof/>
          <w:sz w:val="24"/>
          <w:szCs w:val="24"/>
          <w:vertAlign w:val="superscript"/>
        </w:rPr>
        <w:footnoteReference w:id="9"/>
      </w:r>
      <w:r>
        <w:rPr>
          <w:noProof/>
          <w:sz w:val="24"/>
          <w:szCs w:val="24"/>
        </w:rPr>
        <w:t xml:space="preserve"> or through their funding instruments</w:t>
      </w:r>
      <w:r>
        <w:rPr>
          <w:noProof/>
          <w:sz w:val="24"/>
          <w:szCs w:val="24"/>
          <w:vertAlign w:val="superscript"/>
        </w:rPr>
        <w:footnoteReference w:id="10"/>
      </w:r>
      <w:r>
        <w:rPr>
          <w:noProof/>
          <w:sz w:val="24"/>
          <w:szCs w:val="24"/>
        </w:rPr>
        <w:t xml:space="preserve"> over the last thirty-six (36) months, under the condition that the Final Recipient Transaction is not covering the same expense ; or</w:t>
      </w:r>
    </w:p>
    <w:p w14:paraId="0DACB70F" w14:textId="77777777" w:rsidR="006D22A0" w:rsidRDefault="006D22A0" w:rsidP="006D22A0">
      <w:pPr>
        <w:numPr>
          <w:ilvl w:val="2"/>
          <w:numId w:val="21"/>
        </w:numPr>
        <w:autoSpaceDE w:val="0"/>
        <w:autoSpaceDN w:val="0"/>
        <w:adjustRightInd w:val="0"/>
        <w:spacing w:after="120" w:line="240" w:lineRule="auto"/>
        <w:ind w:left="1843" w:hanging="425"/>
        <w:jc w:val="both"/>
        <w:rPr>
          <w:noProof/>
          <w:sz w:val="24"/>
          <w:szCs w:val="24"/>
        </w:rPr>
      </w:pPr>
      <w:r>
        <w:rPr>
          <w:noProof/>
          <w:sz w:val="24"/>
          <w:szCs w:val="24"/>
        </w:rPr>
        <w:t xml:space="preserve">The </w:t>
      </w:r>
      <w:r>
        <w:rPr>
          <w:rFonts w:cs="Calibri"/>
          <w:noProof/>
          <w:sz w:val="24"/>
          <w:szCs w:val="24"/>
        </w:rPr>
        <w:t xml:space="preserve">Final Recipient </w:t>
      </w:r>
      <w:r>
        <w:rPr>
          <w:noProof/>
          <w:sz w:val="24"/>
          <w:szCs w:val="24"/>
        </w:rPr>
        <w:t>has been awarded over the last twenty-four (24) months an R&amp;D or Innovation prize provided by an EU institution or an EU body; or</w:t>
      </w:r>
    </w:p>
    <w:p w14:paraId="35F75FD7" w14:textId="77777777" w:rsidR="006D22A0" w:rsidRDefault="006D22A0" w:rsidP="006D22A0">
      <w:pPr>
        <w:numPr>
          <w:ilvl w:val="2"/>
          <w:numId w:val="21"/>
        </w:numPr>
        <w:autoSpaceDE w:val="0"/>
        <w:autoSpaceDN w:val="0"/>
        <w:adjustRightInd w:val="0"/>
        <w:spacing w:after="120" w:line="240" w:lineRule="auto"/>
        <w:ind w:left="1843" w:hanging="425"/>
        <w:jc w:val="both"/>
        <w:rPr>
          <w:noProof/>
          <w:sz w:val="24"/>
          <w:szCs w:val="24"/>
        </w:rPr>
      </w:pPr>
      <w:r>
        <w:rPr>
          <w:noProof/>
          <w:sz w:val="24"/>
          <w:szCs w:val="24"/>
        </w:rPr>
        <w:t xml:space="preserve">The </w:t>
      </w:r>
      <w:r>
        <w:rPr>
          <w:rFonts w:cs="Calibri"/>
          <w:noProof/>
          <w:sz w:val="24"/>
          <w:szCs w:val="24"/>
        </w:rPr>
        <w:t xml:space="preserve">Final Recipient </w:t>
      </w:r>
      <w:r>
        <w:rPr>
          <w:noProof/>
          <w:sz w:val="24"/>
          <w:szCs w:val="24"/>
        </w:rPr>
        <w:t>has registered at least one technology right (such as patent, utility model, design right, topography of semiconductor products, supplementary protection certificate for medicinal products or other products for which such supplementary protection certificates may be obtained, plant breeder’s certificate or software copyright) in the last twenty-four (24) months, and the Final Recipient Transaction purpose is to enable, directly or indirectly, the use of this technology right; or</w:t>
      </w:r>
    </w:p>
    <w:p w14:paraId="6E248715" w14:textId="77777777" w:rsidR="006D22A0" w:rsidRDefault="006D22A0" w:rsidP="006D22A0">
      <w:pPr>
        <w:numPr>
          <w:ilvl w:val="2"/>
          <w:numId w:val="21"/>
        </w:numPr>
        <w:autoSpaceDE w:val="0"/>
        <w:autoSpaceDN w:val="0"/>
        <w:adjustRightInd w:val="0"/>
        <w:spacing w:after="120" w:line="240" w:lineRule="auto"/>
        <w:ind w:left="1843" w:hanging="425"/>
        <w:jc w:val="both"/>
        <w:rPr>
          <w:noProof/>
          <w:sz w:val="24"/>
          <w:szCs w:val="24"/>
        </w:rPr>
      </w:pPr>
      <w:r>
        <w:rPr>
          <w:noProof/>
          <w:sz w:val="24"/>
          <w:szCs w:val="24"/>
        </w:rPr>
        <w:t xml:space="preserve">The </w:t>
      </w:r>
      <w:r>
        <w:rPr>
          <w:rFonts w:cs="Calibri"/>
          <w:noProof/>
          <w:sz w:val="24"/>
          <w:szCs w:val="24"/>
        </w:rPr>
        <w:t xml:space="preserve">Final Recipient is an early stage SME and </w:t>
      </w:r>
      <w:r>
        <w:rPr>
          <w:noProof/>
          <w:sz w:val="24"/>
          <w:szCs w:val="24"/>
        </w:rPr>
        <w:t xml:space="preserve">has received an investment over the last twenty-four (24) months from a venture capital investor or from a business angel being a member of a business angels network; or such venture capital investor or business angel is a shareholder of the </w:t>
      </w:r>
      <w:r>
        <w:rPr>
          <w:rFonts w:cs="Calibri"/>
          <w:noProof/>
          <w:sz w:val="24"/>
          <w:szCs w:val="24"/>
        </w:rPr>
        <w:t>Final Recipient</w:t>
      </w:r>
      <w:r>
        <w:rPr>
          <w:noProof/>
          <w:sz w:val="24"/>
          <w:szCs w:val="24"/>
        </w:rPr>
        <w:t xml:space="preserve"> at the time of the </w:t>
      </w:r>
      <w:r>
        <w:rPr>
          <w:rFonts w:cs="Calibri"/>
          <w:noProof/>
          <w:sz w:val="24"/>
          <w:szCs w:val="24"/>
        </w:rPr>
        <w:t>Final Recipient's application for the Final Recipient Transaction</w:t>
      </w:r>
      <w:r>
        <w:rPr>
          <w:noProof/>
          <w:sz w:val="24"/>
          <w:szCs w:val="24"/>
        </w:rPr>
        <w:t>; or</w:t>
      </w:r>
    </w:p>
    <w:p w14:paraId="0A5F1184" w14:textId="77777777" w:rsidR="006D22A0" w:rsidRDefault="006D22A0" w:rsidP="006D22A0">
      <w:pPr>
        <w:numPr>
          <w:ilvl w:val="2"/>
          <w:numId w:val="21"/>
        </w:numPr>
        <w:autoSpaceDE w:val="0"/>
        <w:autoSpaceDN w:val="0"/>
        <w:adjustRightInd w:val="0"/>
        <w:spacing w:after="120" w:line="240" w:lineRule="auto"/>
        <w:ind w:left="1843" w:hanging="425"/>
        <w:jc w:val="both"/>
        <w:rPr>
          <w:noProof/>
          <w:sz w:val="24"/>
          <w:szCs w:val="24"/>
        </w:rPr>
      </w:pPr>
      <w:r>
        <w:rPr>
          <w:noProof/>
          <w:sz w:val="24"/>
          <w:szCs w:val="24"/>
        </w:rPr>
        <w:lastRenderedPageBreak/>
        <w:t>The Final Recipient requires a risk finance investment which, based on a business plan prepared in view of entering a new product or geographical market, is higher than 50% of its average annual turnover in the preceding 5 years; or</w:t>
      </w:r>
    </w:p>
    <w:p w14:paraId="7C2FA32E" w14:textId="77777777" w:rsidR="006D22A0" w:rsidRDefault="006D22A0" w:rsidP="006D22A0">
      <w:pPr>
        <w:numPr>
          <w:ilvl w:val="2"/>
          <w:numId w:val="21"/>
        </w:numPr>
        <w:autoSpaceDE w:val="0"/>
        <w:autoSpaceDN w:val="0"/>
        <w:adjustRightInd w:val="0"/>
        <w:spacing w:after="120" w:line="240" w:lineRule="auto"/>
        <w:ind w:left="1843" w:hanging="425"/>
        <w:jc w:val="both"/>
        <w:rPr>
          <w:noProof/>
          <w:sz w:val="24"/>
          <w:szCs w:val="24"/>
        </w:rPr>
      </w:pPr>
      <w:r>
        <w:rPr>
          <w:noProof/>
          <w:sz w:val="24"/>
          <w:szCs w:val="24"/>
        </w:rPr>
        <w:t>The Final Recipient’s R&amp;I costs represent at least 10% of its total operating costs in at least one of the three years preceding Final Recipient's application for the Final Recipient Transaction, or in the case of an enterprise without any financial history, as per its current financial statements; or</w:t>
      </w:r>
    </w:p>
    <w:p w14:paraId="4A941EAF" w14:textId="77777777" w:rsidR="006D22A0" w:rsidRDefault="006D22A0" w:rsidP="006D22A0">
      <w:pPr>
        <w:numPr>
          <w:ilvl w:val="2"/>
          <w:numId w:val="21"/>
        </w:numPr>
        <w:autoSpaceDE w:val="0"/>
        <w:autoSpaceDN w:val="0"/>
        <w:adjustRightInd w:val="0"/>
        <w:spacing w:after="120" w:line="240" w:lineRule="auto"/>
        <w:ind w:left="1843" w:hanging="425"/>
        <w:jc w:val="both"/>
        <w:rPr>
          <w:noProof/>
          <w:sz w:val="24"/>
          <w:szCs w:val="24"/>
        </w:rPr>
      </w:pPr>
      <w:r>
        <w:rPr>
          <w:noProof/>
          <w:sz w:val="24"/>
          <w:szCs w:val="24"/>
        </w:rPr>
        <w:t>The Final Recipient is a Small Mid-cap and its R&amp;I costs represent:</w:t>
      </w:r>
    </w:p>
    <w:p w14:paraId="2F6A0CE5" w14:textId="77777777" w:rsidR="006D22A0" w:rsidRDefault="006D22A0" w:rsidP="006D22A0">
      <w:pPr>
        <w:numPr>
          <w:ilvl w:val="3"/>
          <w:numId w:val="22"/>
        </w:numPr>
        <w:autoSpaceDE w:val="0"/>
        <w:autoSpaceDN w:val="0"/>
        <w:adjustRightInd w:val="0"/>
        <w:spacing w:after="120" w:line="240" w:lineRule="auto"/>
        <w:ind w:left="2552" w:hanging="284"/>
        <w:jc w:val="both"/>
        <w:rPr>
          <w:noProof/>
          <w:sz w:val="24"/>
          <w:szCs w:val="24"/>
        </w:rPr>
      </w:pPr>
      <w:r>
        <w:rPr>
          <w:noProof/>
          <w:sz w:val="24"/>
          <w:szCs w:val="24"/>
        </w:rPr>
        <w:t xml:space="preserve"> Either, at least 15% of its total operating costs in at least one of the three years preceding the Final Recipient's application for the Final Recipient Transaction</w:t>
      </w:r>
    </w:p>
    <w:p w14:paraId="127D878F" w14:textId="77777777" w:rsidR="006D22A0" w:rsidRDefault="006D22A0" w:rsidP="006D22A0">
      <w:pPr>
        <w:numPr>
          <w:ilvl w:val="3"/>
          <w:numId w:val="22"/>
        </w:numPr>
        <w:autoSpaceDE w:val="0"/>
        <w:autoSpaceDN w:val="0"/>
        <w:adjustRightInd w:val="0"/>
        <w:spacing w:after="120" w:line="240" w:lineRule="auto"/>
        <w:ind w:left="2552" w:hanging="284"/>
        <w:jc w:val="both"/>
        <w:rPr>
          <w:noProof/>
          <w:sz w:val="24"/>
          <w:szCs w:val="24"/>
        </w:rPr>
      </w:pPr>
      <w:r>
        <w:rPr>
          <w:noProof/>
          <w:sz w:val="24"/>
          <w:szCs w:val="24"/>
        </w:rPr>
        <w:t xml:space="preserve"> Or, at least 10% per year of its total operating costs in the three years preceding the Final Recipient's application for the Final Recipient Transaction; or</w:t>
      </w:r>
    </w:p>
    <w:p w14:paraId="74C62EAB" w14:textId="77777777" w:rsidR="006D22A0" w:rsidRDefault="006D22A0" w:rsidP="006D22A0">
      <w:pPr>
        <w:numPr>
          <w:ilvl w:val="2"/>
          <w:numId w:val="21"/>
        </w:numPr>
        <w:autoSpaceDE w:val="0"/>
        <w:autoSpaceDN w:val="0"/>
        <w:adjustRightInd w:val="0"/>
        <w:spacing w:after="120" w:line="240" w:lineRule="auto"/>
        <w:ind w:left="1843" w:hanging="425"/>
        <w:jc w:val="both"/>
        <w:rPr>
          <w:noProof/>
          <w:sz w:val="24"/>
          <w:szCs w:val="24"/>
        </w:rPr>
      </w:pPr>
      <w:r>
        <w:rPr>
          <w:noProof/>
          <w:sz w:val="24"/>
          <w:szCs w:val="24"/>
        </w:rPr>
        <w:t>The Final Recipient has incurred R&amp;I expenses qualified in the past 36 months as part of general support measures approved by the European Commission and designed to incentivize companies to invest in R&amp;I, provided that i) such  body or institution is independent of the Financial (Sub-)Intermediary and the Final Recipient and ii) the Final Recipient Transaction covers incremental expenditure as indicated in the Final Recipient’s business plan and iii) the Final Recipient Transaction is not covering the same eligible costs already supported by aforementioned measures; or</w:t>
      </w:r>
    </w:p>
    <w:p w14:paraId="71F95F63" w14:textId="77777777" w:rsidR="006D22A0" w:rsidRDefault="006D22A0" w:rsidP="006D22A0">
      <w:pPr>
        <w:numPr>
          <w:ilvl w:val="2"/>
          <w:numId w:val="21"/>
        </w:numPr>
        <w:autoSpaceDE w:val="0"/>
        <w:autoSpaceDN w:val="0"/>
        <w:adjustRightInd w:val="0"/>
        <w:spacing w:after="120" w:line="240" w:lineRule="auto"/>
        <w:ind w:left="1843" w:hanging="425"/>
        <w:jc w:val="both"/>
        <w:rPr>
          <w:noProof/>
          <w:sz w:val="24"/>
          <w:szCs w:val="24"/>
        </w:rPr>
      </w:pPr>
      <w:r>
        <w:rPr>
          <w:noProof/>
          <w:sz w:val="24"/>
          <w:szCs w:val="24"/>
        </w:rPr>
        <w:t>The Final Recipient has been designated in the past 36 months as an innovative company by an EU</w:t>
      </w:r>
      <w:r w:rsidR="00062B38">
        <w:rPr>
          <w:noProof/>
          <w:sz w:val="24"/>
          <w:szCs w:val="24"/>
        </w:rPr>
        <w:t xml:space="preserve"> I</w:t>
      </w:r>
      <w:r>
        <w:rPr>
          <w:noProof/>
          <w:sz w:val="24"/>
          <w:szCs w:val="24"/>
        </w:rPr>
        <w:t>nstitution or body, provided that in each case</w:t>
      </w:r>
    </w:p>
    <w:p w14:paraId="06CD502E" w14:textId="77777777" w:rsidR="006D22A0" w:rsidRDefault="006D22A0" w:rsidP="006D22A0">
      <w:pPr>
        <w:numPr>
          <w:ilvl w:val="3"/>
          <w:numId w:val="23"/>
        </w:numPr>
        <w:autoSpaceDE w:val="0"/>
        <w:autoSpaceDN w:val="0"/>
        <w:adjustRightInd w:val="0"/>
        <w:spacing w:after="120" w:line="240" w:lineRule="auto"/>
        <w:ind w:left="2552" w:hanging="284"/>
        <w:contextualSpacing/>
        <w:jc w:val="both"/>
        <w:rPr>
          <w:noProof/>
          <w:sz w:val="24"/>
          <w:szCs w:val="24"/>
          <w:lang w:eastAsia="fr-FR"/>
        </w:rPr>
      </w:pPr>
      <w:r>
        <w:rPr>
          <w:noProof/>
          <w:sz w:val="24"/>
          <w:szCs w:val="24"/>
          <w:lang w:eastAsia="fr-FR"/>
        </w:rPr>
        <w:t>the designation is based on the publicly available criteria where such criteria:</w:t>
      </w:r>
    </w:p>
    <w:p w14:paraId="0D89A7E4" w14:textId="77777777" w:rsidR="006D22A0" w:rsidRDefault="006D22A0" w:rsidP="006D22A0">
      <w:pPr>
        <w:numPr>
          <w:ilvl w:val="0"/>
          <w:numId w:val="24"/>
        </w:numPr>
        <w:autoSpaceDE w:val="0"/>
        <w:autoSpaceDN w:val="0"/>
        <w:adjustRightInd w:val="0"/>
        <w:spacing w:after="120" w:line="240" w:lineRule="auto"/>
        <w:ind w:left="2977" w:hanging="425"/>
        <w:contextualSpacing/>
        <w:jc w:val="both"/>
        <w:rPr>
          <w:noProof/>
          <w:sz w:val="24"/>
          <w:szCs w:val="24"/>
          <w:lang w:eastAsia="fr-FR"/>
        </w:rPr>
      </w:pPr>
      <w:r>
        <w:rPr>
          <w:noProof/>
          <w:sz w:val="24"/>
          <w:szCs w:val="24"/>
          <w:lang w:eastAsia="fr-FR"/>
        </w:rPr>
        <w:t xml:space="preserve">shall not be limited to or otherwise favour any particular industry or sector, and </w:t>
      </w:r>
    </w:p>
    <w:p w14:paraId="74FA8BA0" w14:textId="77777777" w:rsidR="006D22A0" w:rsidRPr="00062B38" w:rsidRDefault="006D22A0" w:rsidP="006D22A0">
      <w:pPr>
        <w:numPr>
          <w:ilvl w:val="0"/>
          <w:numId w:val="24"/>
        </w:numPr>
        <w:autoSpaceDE w:val="0"/>
        <w:autoSpaceDN w:val="0"/>
        <w:adjustRightInd w:val="0"/>
        <w:spacing w:after="120" w:line="240" w:lineRule="auto"/>
        <w:ind w:left="2977" w:hanging="425"/>
        <w:contextualSpacing/>
        <w:jc w:val="both"/>
        <w:rPr>
          <w:noProof/>
          <w:sz w:val="24"/>
          <w:szCs w:val="24"/>
          <w:lang w:eastAsia="fr-FR"/>
        </w:rPr>
      </w:pPr>
      <w:r w:rsidRPr="00062B38">
        <w:rPr>
          <w:noProof/>
          <w:sz w:val="24"/>
          <w:szCs w:val="24"/>
          <w:lang w:eastAsia="fr-FR"/>
        </w:rPr>
        <w:t>shall reflect at least one of the criteria referred to in article 5.2 except article 5.2.(c).4)</w:t>
      </w:r>
      <w:r w:rsidR="009736EF">
        <w:rPr>
          <w:noProof/>
          <w:sz w:val="24"/>
          <w:szCs w:val="24"/>
          <w:lang w:eastAsia="fr-FR"/>
        </w:rPr>
        <w:t xml:space="preserve"> [</w:t>
      </w:r>
      <w:r w:rsidR="009736EF" w:rsidRPr="009736EF">
        <w:rPr>
          <w:i/>
          <w:noProof/>
          <w:sz w:val="24"/>
          <w:szCs w:val="24"/>
          <w:lang w:eastAsia="fr-FR"/>
        </w:rPr>
        <w:t>this reference needs to be reworked</w:t>
      </w:r>
      <w:r w:rsidR="009736EF">
        <w:rPr>
          <w:noProof/>
          <w:sz w:val="24"/>
          <w:szCs w:val="24"/>
          <w:lang w:eastAsia="fr-FR"/>
        </w:rPr>
        <w:t>]</w:t>
      </w:r>
      <w:r w:rsidRPr="00062B38">
        <w:rPr>
          <w:noProof/>
          <w:sz w:val="24"/>
          <w:szCs w:val="24"/>
          <w:lang w:eastAsia="fr-FR"/>
        </w:rPr>
        <w:t xml:space="preserve">, or shall reflect the substance </w:t>
      </w:r>
      <w:r w:rsidRPr="00062B38">
        <w:rPr>
          <w:rFonts w:eastAsia="MS Mincho"/>
          <w:noProof/>
          <w:sz w:val="24"/>
          <w:szCs w:val="24"/>
          <w:lang w:eastAsia="fr-FR"/>
        </w:rPr>
        <w:t xml:space="preserve">of at least </w:t>
      </w:r>
      <w:r w:rsidRPr="00062B38">
        <w:rPr>
          <w:noProof/>
          <w:sz w:val="24"/>
          <w:szCs w:val="24"/>
          <w:lang w:eastAsia="fr-FR"/>
        </w:rPr>
        <w:t xml:space="preserve">one of these criteria but shall not be less stringent; and   </w:t>
      </w:r>
    </w:p>
    <w:p w14:paraId="4ACB6300" w14:textId="0F2AF1AF" w:rsidR="006D22A0" w:rsidRDefault="006D22A0" w:rsidP="006D22A0">
      <w:pPr>
        <w:numPr>
          <w:ilvl w:val="3"/>
          <w:numId w:val="23"/>
        </w:numPr>
        <w:autoSpaceDE w:val="0"/>
        <w:autoSpaceDN w:val="0"/>
        <w:adjustRightInd w:val="0"/>
        <w:spacing w:after="120" w:line="240" w:lineRule="auto"/>
        <w:ind w:left="2552" w:hanging="284"/>
        <w:contextualSpacing/>
        <w:jc w:val="both"/>
        <w:rPr>
          <w:noProof/>
          <w:sz w:val="24"/>
          <w:szCs w:val="24"/>
          <w:lang w:eastAsia="fr-FR"/>
        </w:rPr>
      </w:pPr>
      <w:r>
        <w:rPr>
          <w:noProof/>
          <w:sz w:val="24"/>
          <w:szCs w:val="24"/>
          <w:lang w:eastAsia="fr-FR"/>
        </w:rPr>
        <w:t>the body or institution is indepen</w:t>
      </w:r>
      <w:r w:rsidR="002169EC">
        <w:rPr>
          <w:noProof/>
          <w:sz w:val="24"/>
          <w:szCs w:val="24"/>
          <w:lang w:eastAsia="fr-FR"/>
        </w:rPr>
        <w:t>dent of the SMEG Financial (Sub</w:t>
      </w:r>
      <w:r w:rsidR="00062B38">
        <w:rPr>
          <w:noProof/>
          <w:sz w:val="24"/>
          <w:szCs w:val="24"/>
          <w:lang w:eastAsia="fr-FR"/>
        </w:rPr>
        <w:t>)</w:t>
      </w:r>
      <w:r>
        <w:rPr>
          <w:noProof/>
          <w:sz w:val="24"/>
          <w:szCs w:val="24"/>
          <w:lang w:eastAsia="fr-FR"/>
        </w:rPr>
        <w:t xml:space="preserve"> Intermediary and the SMEG Final Recipient; and </w:t>
      </w:r>
    </w:p>
    <w:p w14:paraId="77A1C3CC" w14:textId="77777777" w:rsidR="006D22A0" w:rsidRDefault="006D22A0" w:rsidP="006D22A0">
      <w:pPr>
        <w:numPr>
          <w:ilvl w:val="3"/>
          <w:numId w:val="23"/>
        </w:numPr>
        <w:autoSpaceDE w:val="0"/>
        <w:autoSpaceDN w:val="0"/>
        <w:adjustRightInd w:val="0"/>
        <w:spacing w:after="120" w:line="240" w:lineRule="auto"/>
        <w:ind w:left="2552" w:hanging="284"/>
        <w:contextualSpacing/>
        <w:jc w:val="both"/>
        <w:rPr>
          <w:noProof/>
          <w:sz w:val="24"/>
          <w:szCs w:val="24"/>
          <w:lang w:eastAsia="fr-FR"/>
        </w:rPr>
      </w:pPr>
      <w:r>
        <w:rPr>
          <w:noProof/>
          <w:sz w:val="24"/>
          <w:szCs w:val="24"/>
          <w:lang w:eastAsia="fr-FR"/>
        </w:rPr>
        <w:t>the SMEG Final Recipient Transaction covers incremental expenditure as indicated in the SMEG Final Recipient’s business plan.</w:t>
      </w:r>
    </w:p>
    <w:p w14:paraId="13E17048" w14:textId="77777777" w:rsidR="009736EF" w:rsidRDefault="009736EF" w:rsidP="006D22A0">
      <w:pPr>
        <w:pStyle w:val="CommentText"/>
      </w:pPr>
    </w:p>
    <w:p w14:paraId="4A9D47B5" w14:textId="77777777" w:rsidR="006D22A0" w:rsidRDefault="009736EF" w:rsidP="009736EF">
      <w:pPr>
        <w:pStyle w:val="CommentText"/>
        <w:jc w:val="both"/>
      </w:pPr>
      <w:r>
        <w:lastRenderedPageBreak/>
        <w:t xml:space="preserve">[NB: </w:t>
      </w:r>
      <w:r w:rsidR="006D22A0">
        <w:t>National and regional research or innovation support schemes could be included under the MS Compartment.</w:t>
      </w:r>
      <w:r>
        <w:t xml:space="preserve"> </w:t>
      </w:r>
      <w:r w:rsidR="006D22A0">
        <w:t>National and regional institution or body could be included under the MS Compartment.</w:t>
      </w:r>
      <w:r>
        <w:t>]</w:t>
      </w:r>
    </w:p>
    <w:p w14:paraId="0ED4C485" w14:textId="77777777" w:rsidR="009F3B06" w:rsidRDefault="009F3B06" w:rsidP="00062B38">
      <w:pPr>
        <w:pStyle w:val="ListParagraph"/>
      </w:pPr>
    </w:p>
    <w:sectPr w:rsidR="009F3B06" w:rsidSect="00062B38">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B52C0" w14:textId="77777777" w:rsidR="00A17D51" w:rsidRDefault="00A17D51" w:rsidP="00085CF4">
      <w:pPr>
        <w:spacing w:after="0" w:line="240" w:lineRule="auto"/>
      </w:pPr>
      <w:r>
        <w:separator/>
      </w:r>
    </w:p>
  </w:endnote>
  <w:endnote w:type="continuationSeparator" w:id="0">
    <w:p w14:paraId="0D1EB589" w14:textId="77777777" w:rsidR="00A17D51" w:rsidRDefault="00A17D51" w:rsidP="00085CF4">
      <w:pPr>
        <w:spacing w:after="0" w:line="240" w:lineRule="auto"/>
      </w:pPr>
      <w:r>
        <w:continuationSeparator/>
      </w:r>
    </w:p>
  </w:endnote>
  <w:endnote w:type="continuationNotice" w:id="1">
    <w:p w14:paraId="68239481" w14:textId="77777777" w:rsidR="00A17D51" w:rsidRDefault="00A17D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418437"/>
      <w:docPartObj>
        <w:docPartGallery w:val="Page Numbers (Bottom of Page)"/>
        <w:docPartUnique/>
      </w:docPartObj>
    </w:sdtPr>
    <w:sdtEndPr/>
    <w:sdtContent>
      <w:sdt>
        <w:sdtPr>
          <w:id w:val="2005934736"/>
          <w:docPartObj>
            <w:docPartGallery w:val="Page Numbers (Top of Page)"/>
            <w:docPartUnique/>
          </w:docPartObj>
        </w:sdtPr>
        <w:sdtEndPr/>
        <w:sdtContent>
          <w:p w14:paraId="758D286B" w14:textId="296300E0" w:rsidR="00D130FF" w:rsidRDefault="00D130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776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7765">
              <w:rPr>
                <w:b/>
                <w:bCs/>
                <w:noProof/>
              </w:rPr>
              <w:t>11</w:t>
            </w:r>
            <w:r>
              <w:rPr>
                <w:b/>
                <w:bCs/>
                <w:sz w:val="24"/>
                <w:szCs w:val="24"/>
              </w:rPr>
              <w:fldChar w:fldCharType="end"/>
            </w:r>
          </w:p>
        </w:sdtContent>
      </w:sdt>
    </w:sdtContent>
  </w:sdt>
  <w:p w14:paraId="43547DAB" w14:textId="77777777" w:rsidR="00D130FF" w:rsidRDefault="00D13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F809" w14:textId="77777777" w:rsidR="00A17D51" w:rsidRDefault="00A17D51" w:rsidP="00085CF4">
      <w:pPr>
        <w:spacing w:after="0" w:line="240" w:lineRule="auto"/>
      </w:pPr>
      <w:r>
        <w:separator/>
      </w:r>
    </w:p>
  </w:footnote>
  <w:footnote w:type="continuationSeparator" w:id="0">
    <w:p w14:paraId="26CE1238" w14:textId="77777777" w:rsidR="00A17D51" w:rsidRDefault="00A17D51" w:rsidP="00085CF4">
      <w:pPr>
        <w:spacing w:after="0" w:line="240" w:lineRule="auto"/>
      </w:pPr>
      <w:r>
        <w:continuationSeparator/>
      </w:r>
    </w:p>
  </w:footnote>
  <w:footnote w:type="continuationNotice" w:id="1">
    <w:p w14:paraId="1FC55F64" w14:textId="77777777" w:rsidR="00A17D51" w:rsidRDefault="00A17D51">
      <w:pPr>
        <w:spacing w:after="0" w:line="240" w:lineRule="auto"/>
      </w:pPr>
    </w:p>
  </w:footnote>
  <w:footnote w:id="2">
    <w:p w14:paraId="589EC474" w14:textId="77777777" w:rsidR="00D130FF" w:rsidRPr="008844C4" w:rsidRDefault="00D130FF" w:rsidP="0080467F">
      <w:pPr>
        <w:pStyle w:val="FootnoteText"/>
        <w:ind w:left="284" w:hanging="284"/>
      </w:pPr>
      <w:r>
        <w:rPr>
          <w:rStyle w:val="FootnoteReference"/>
        </w:rPr>
        <w:footnoteRef/>
      </w:r>
      <w:r>
        <w:t xml:space="preserve"> </w:t>
      </w:r>
      <w:r w:rsidR="0080467F">
        <w:tab/>
      </w:r>
      <w:r w:rsidRPr="008844C4">
        <w:rPr>
          <w:rFonts w:ascii="Arial" w:hAnsi="Arial"/>
          <w:sz w:val="16"/>
          <w:szCs w:val="16"/>
        </w:rPr>
        <w:t>An SME financing gap can be defined as a “mismatch between the demand and the supply [...] in the different types of financial instruments for SMEs in a given area of the EU”. It is a situation where firms that would merit financing cannot get it due to market imperfections.</w:t>
      </w:r>
      <w:r w:rsidRPr="008844C4">
        <w:rPr>
          <w:rFonts w:ascii="Arial" w:hAnsi="Arial"/>
          <w:sz w:val="18"/>
          <w:szCs w:val="18"/>
        </w:rPr>
        <w:t xml:space="preserve">  </w:t>
      </w:r>
    </w:p>
  </w:footnote>
  <w:footnote w:id="3">
    <w:p w14:paraId="5DE37FA3" w14:textId="77777777" w:rsidR="00D130FF" w:rsidRPr="0080467F" w:rsidRDefault="00D130FF" w:rsidP="0080467F">
      <w:pPr>
        <w:pStyle w:val="FootnoteText"/>
        <w:ind w:left="284" w:hanging="284"/>
        <w:rPr>
          <w:rFonts w:ascii="Arial" w:hAnsi="Arial"/>
          <w:sz w:val="16"/>
          <w:szCs w:val="16"/>
        </w:rPr>
      </w:pPr>
      <w:r>
        <w:rPr>
          <w:rStyle w:val="FootnoteReference"/>
        </w:rPr>
        <w:footnoteRef/>
      </w:r>
      <w:r>
        <w:t xml:space="preserve"> </w:t>
      </w:r>
      <w:r w:rsidR="0080467F">
        <w:tab/>
      </w:r>
      <w:r w:rsidRPr="0080467F">
        <w:rPr>
          <w:rFonts w:ascii="Arial" w:hAnsi="Arial"/>
          <w:sz w:val="16"/>
          <w:szCs w:val="16"/>
        </w:rPr>
        <w:t>https://www.eif.org/what_we_do/guarantees/cultural_creative_sectors_guarantee_facility/ccs-market-analysis-europe.pdf</w:t>
      </w:r>
    </w:p>
  </w:footnote>
  <w:footnote w:id="4">
    <w:p w14:paraId="7BA486D3" w14:textId="77777777" w:rsidR="00D130FF" w:rsidRPr="0080467F" w:rsidRDefault="00D130FF" w:rsidP="0080467F">
      <w:pPr>
        <w:pStyle w:val="FootnoteText"/>
        <w:ind w:left="284" w:hanging="284"/>
        <w:rPr>
          <w:rFonts w:ascii="Arial" w:hAnsi="Arial"/>
          <w:sz w:val="16"/>
          <w:szCs w:val="16"/>
        </w:rPr>
      </w:pPr>
      <w:r w:rsidRPr="0080467F">
        <w:rPr>
          <w:rFonts w:ascii="Arial" w:hAnsi="Arial"/>
          <w:sz w:val="16"/>
          <w:szCs w:val="16"/>
          <w:vertAlign w:val="superscript"/>
        </w:rPr>
        <w:footnoteRef/>
      </w:r>
      <w:r w:rsidRPr="0080467F">
        <w:rPr>
          <w:rFonts w:ascii="Arial" w:hAnsi="Arial"/>
          <w:sz w:val="16"/>
          <w:szCs w:val="16"/>
          <w:vertAlign w:val="superscript"/>
        </w:rPr>
        <w:t xml:space="preserve"> </w:t>
      </w:r>
      <w:r w:rsidR="0080467F">
        <w:rPr>
          <w:rFonts w:ascii="Arial" w:hAnsi="Arial"/>
          <w:sz w:val="16"/>
          <w:szCs w:val="16"/>
        </w:rPr>
        <w:tab/>
      </w:r>
      <w:r w:rsidRPr="0080467F">
        <w:rPr>
          <w:rFonts w:ascii="Arial" w:hAnsi="Arial"/>
          <w:sz w:val="16"/>
          <w:szCs w:val="16"/>
        </w:rPr>
        <w:t>EC (2017) Report from the Commission to the European Parliament and the Council. Mid-term evaluation of the Creative Europe programme (2014-2020)</w:t>
      </w:r>
    </w:p>
  </w:footnote>
  <w:footnote w:id="5">
    <w:p w14:paraId="71D53B18" w14:textId="77777777" w:rsidR="00D130FF" w:rsidRPr="0035078C" w:rsidRDefault="00D130FF" w:rsidP="001159BE">
      <w:pPr>
        <w:pStyle w:val="FootnoteText"/>
        <w:ind w:left="284" w:hanging="284"/>
      </w:pPr>
      <w:r>
        <w:rPr>
          <w:rStyle w:val="FootnoteReference"/>
        </w:rPr>
        <w:footnoteRef/>
      </w:r>
      <w:r>
        <w:t xml:space="preserve"> </w:t>
      </w:r>
      <w:r w:rsidRPr="0035078C">
        <w:t xml:space="preserve"> </w:t>
      </w:r>
      <w:r w:rsidR="001159BE">
        <w:tab/>
      </w:r>
      <w:r w:rsidRPr="0035078C">
        <w:t>IDEA (2013) Survey on access to finance for cultural and creative sectors: Evaluate the financial gap of different cultural and creative sectors to support the impact assessment of the Creative Europe programme. Report for the EC</w:t>
      </w:r>
    </w:p>
  </w:footnote>
  <w:footnote w:id="6">
    <w:p w14:paraId="1C48FE08" w14:textId="77777777" w:rsidR="00D130FF" w:rsidRDefault="00D130FF" w:rsidP="001159BE">
      <w:pPr>
        <w:pStyle w:val="FootnoteText"/>
        <w:ind w:left="284" w:hanging="284"/>
      </w:pPr>
      <w:r>
        <w:rPr>
          <w:rStyle w:val="FootnoteReference"/>
        </w:rPr>
        <w:footnoteRef/>
      </w:r>
      <w:r>
        <w:t xml:space="preserve"> </w:t>
      </w:r>
      <w:r w:rsidR="001159BE">
        <w:tab/>
      </w:r>
      <w:r>
        <w:t xml:space="preserve">EC (2019) </w:t>
      </w:r>
      <w:r w:rsidRPr="003918E7">
        <w:t>Ex-ante evaluation of new financial instruments for SMEs, mid-caps and organisations from the Cultural and Creative Sectors.</w:t>
      </w:r>
    </w:p>
  </w:footnote>
  <w:footnote w:id="7">
    <w:p w14:paraId="37464B8E" w14:textId="77777777" w:rsidR="00D130FF" w:rsidRPr="00D6527D" w:rsidRDefault="00D130FF" w:rsidP="00D6527D">
      <w:pPr>
        <w:pStyle w:val="FootnoteText"/>
        <w:ind w:left="284" w:hanging="284"/>
        <w:jc w:val="both"/>
      </w:pPr>
      <w:r>
        <w:rPr>
          <w:rStyle w:val="FootnoteReference"/>
        </w:rPr>
        <w:footnoteRef/>
      </w:r>
      <w:r>
        <w:t xml:space="preserve"> </w:t>
      </w:r>
      <w:r w:rsidR="00D6527D">
        <w:tab/>
      </w:r>
      <w:r w:rsidRPr="00D6527D">
        <w:t>As defined in the Annex to Commission Recommendation of 6 May 2003 concerning the definition of micro, small and medium-sized enterprises (Text with EEA relevance) (notified under document number C(2003) 1422) and as amended from time to time. In the cultural and creative sector, 'SME' shall also mean micro, small and medium-sized enterprise not complying with the SME definition exclusively because of detention of shares of the SME by public bodies which exceeds the limits defined in Art 3.4 of the Commission Recommendation 2003:361/EC (OJ L124, 20.05.2003, p.36) ("Public Enterprise")</w:t>
      </w:r>
    </w:p>
  </w:footnote>
  <w:footnote w:id="8">
    <w:p w14:paraId="1ECD477A" w14:textId="77777777" w:rsidR="00D130FF" w:rsidRDefault="00D130FF" w:rsidP="003E24FA">
      <w:pPr>
        <w:pStyle w:val="FootnoteText"/>
        <w:ind w:left="284" w:hanging="284"/>
      </w:pPr>
      <w:r>
        <w:rPr>
          <w:rStyle w:val="FootnoteReference"/>
        </w:rPr>
        <w:footnoteRef/>
      </w:r>
      <w:r>
        <w:t xml:space="preserve"> </w:t>
      </w:r>
      <w:r w:rsidR="003E24FA">
        <w:tab/>
      </w:r>
      <w:r>
        <w:t>As defined in the paragraphs 15(y) and 15 (bb) of 1.3 Definitions of the Communication from the Commission C(2014) 3282 of 21 May 2014 on the Framework for state aid for research and development and innovation</w:t>
      </w:r>
    </w:p>
  </w:footnote>
  <w:footnote w:id="9">
    <w:p w14:paraId="443BD256" w14:textId="77777777" w:rsidR="00D130FF" w:rsidRDefault="00D130FF" w:rsidP="003E24FA">
      <w:pPr>
        <w:pStyle w:val="FootnoteText"/>
        <w:ind w:left="284" w:hanging="284"/>
        <w:rPr>
          <w:rFonts w:ascii="Calibri" w:hAnsi="Calibri"/>
        </w:rPr>
      </w:pPr>
      <w:r>
        <w:rPr>
          <w:rStyle w:val="FootnoteReference"/>
          <w:rFonts w:ascii="Calibri" w:hAnsi="Calibri"/>
        </w:rPr>
        <w:footnoteRef/>
      </w:r>
      <w:r>
        <w:rPr>
          <w:rFonts w:ascii="Calibri" w:hAnsi="Calibri"/>
        </w:rPr>
        <w:t xml:space="preserve"> </w:t>
      </w:r>
      <w:r w:rsidR="003E24FA">
        <w:rPr>
          <w:rFonts w:ascii="Calibri" w:hAnsi="Calibri"/>
        </w:rPr>
        <w:tab/>
      </w:r>
      <w:r>
        <w:rPr>
          <w:rFonts w:ascii="Calibri" w:hAnsi="Calibri"/>
        </w:rPr>
        <w:t>e.g.,  Horizon 2020 or FP7</w:t>
      </w:r>
    </w:p>
  </w:footnote>
  <w:footnote w:id="10">
    <w:p w14:paraId="4600FDDD" w14:textId="77777777" w:rsidR="00D130FF" w:rsidRDefault="00D130FF" w:rsidP="003E24FA">
      <w:pPr>
        <w:pStyle w:val="FootnoteText"/>
        <w:ind w:left="284" w:hanging="284"/>
        <w:rPr>
          <w:rFonts w:ascii="Times New Roman" w:hAnsi="Times New Roman"/>
        </w:rPr>
      </w:pPr>
      <w:r>
        <w:rPr>
          <w:rStyle w:val="FootnoteReference"/>
          <w:rFonts w:ascii="Calibri" w:hAnsi="Calibri"/>
        </w:rPr>
        <w:footnoteRef/>
      </w:r>
      <w:r>
        <w:rPr>
          <w:rFonts w:ascii="Calibri" w:hAnsi="Calibri"/>
        </w:rPr>
        <w:t xml:space="preserve"> </w:t>
      </w:r>
      <w:r w:rsidR="003E24FA">
        <w:rPr>
          <w:rFonts w:ascii="Calibri" w:hAnsi="Calibri"/>
        </w:rPr>
        <w:tab/>
      </w:r>
      <w:r>
        <w:rPr>
          <w:rFonts w:ascii="Calibri" w:hAnsi="Calibri"/>
        </w:rPr>
        <w:t>e.g., Joint Technology Initiatives or Eurostars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D8CE" w14:textId="77777777" w:rsidR="00D130FF" w:rsidRDefault="00D130FF" w:rsidP="00085CF4">
    <w:pPr>
      <w:spacing w:after="0"/>
      <w:jc w:val="center"/>
      <w:rPr>
        <w:rFonts w:ascii="Arial" w:hAnsi="Arial"/>
        <w:b/>
        <w:sz w:val="24"/>
        <w:szCs w:val="24"/>
      </w:rPr>
    </w:pPr>
    <w:r>
      <w:rPr>
        <w:rFonts w:ascii="Arial" w:hAnsi="Arial"/>
        <w:b/>
        <w:sz w:val="24"/>
        <w:szCs w:val="24"/>
      </w:rPr>
      <w:t>InvestEU Fund – EU compartment</w:t>
    </w:r>
  </w:p>
  <w:p w14:paraId="3D684D5F" w14:textId="77777777" w:rsidR="00D130FF" w:rsidRDefault="00D130FF" w:rsidP="00085CF4">
    <w:pPr>
      <w:spacing w:after="0"/>
      <w:jc w:val="center"/>
      <w:rPr>
        <w:rFonts w:ascii="Arial" w:hAnsi="Arial"/>
        <w:b/>
        <w:sz w:val="24"/>
        <w:szCs w:val="24"/>
      </w:rPr>
    </w:pPr>
    <w:r w:rsidRPr="00360490">
      <w:rPr>
        <w:rFonts w:ascii="Arial" w:hAnsi="Arial"/>
        <w:b/>
        <w:sz w:val="24"/>
        <w:szCs w:val="24"/>
      </w:rPr>
      <w:t>Financial P</w:t>
    </w:r>
    <w:r w:rsidRPr="0091475F">
      <w:rPr>
        <w:rFonts w:ascii="Arial" w:hAnsi="Arial"/>
        <w:b/>
        <w:sz w:val="24"/>
        <w:szCs w:val="24"/>
      </w:rPr>
      <w:t xml:space="preserve">roduct </w:t>
    </w:r>
    <w:r>
      <w:rPr>
        <w:rFonts w:ascii="Arial" w:hAnsi="Arial"/>
        <w:b/>
        <w:sz w:val="24"/>
        <w:szCs w:val="24"/>
      </w:rPr>
      <w:t>Sheet under the SME window</w:t>
    </w:r>
  </w:p>
  <w:p w14:paraId="656D1D23" w14:textId="77777777" w:rsidR="00D130FF" w:rsidRDefault="00D130FF" w:rsidP="00085CF4">
    <w:pPr>
      <w:spacing w:after="0"/>
      <w:jc w:val="center"/>
      <w:rPr>
        <w:rFonts w:ascii="Arial" w:hAnsi="Arial"/>
        <w:b/>
        <w:sz w:val="24"/>
        <w:szCs w:val="24"/>
      </w:rPr>
    </w:pPr>
    <w:r>
      <w:rPr>
        <w:rFonts w:ascii="Arial" w:hAnsi="Arial"/>
        <w:b/>
        <w:sz w:val="24"/>
        <w:szCs w:val="24"/>
      </w:rPr>
      <w:t>- Debt product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3A9"/>
    <w:multiLevelType w:val="hybridMultilevel"/>
    <w:tmpl w:val="220C9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A11A91"/>
    <w:multiLevelType w:val="hybridMultilevel"/>
    <w:tmpl w:val="A0927D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FC3965"/>
    <w:multiLevelType w:val="hybridMultilevel"/>
    <w:tmpl w:val="6C0EF36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CD3223F"/>
    <w:multiLevelType w:val="hybridMultilevel"/>
    <w:tmpl w:val="20F0EC3A"/>
    <w:lvl w:ilvl="0" w:tplc="40C07A88">
      <w:start w:val="1"/>
      <w:numFmt w:val="lowerLetter"/>
      <w:lvlText w:val="(%1)"/>
      <w:lvlJc w:val="left"/>
      <w:pPr>
        <w:ind w:left="1130" w:hanging="360"/>
      </w:pPr>
      <w:rPr>
        <w:spacing w:val="0"/>
        <w:sz w:val="24"/>
        <w:szCs w:val="24"/>
      </w:rPr>
    </w:lvl>
    <w:lvl w:ilvl="1" w:tplc="08090003">
      <w:start w:val="1"/>
      <w:numFmt w:val="bullet"/>
      <w:lvlText w:val="o"/>
      <w:lvlJc w:val="left"/>
      <w:pPr>
        <w:ind w:left="1850" w:hanging="360"/>
      </w:pPr>
      <w:rPr>
        <w:rFonts w:ascii="Courier New" w:hAnsi="Courier New" w:cs="Courier New" w:hint="default"/>
      </w:rPr>
    </w:lvl>
    <w:lvl w:ilvl="2" w:tplc="08090011">
      <w:start w:val="1"/>
      <w:numFmt w:val="decimal"/>
      <w:lvlText w:val="%3)"/>
      <w:lvlJc w:val="left"/>
      <w:pPr>
        <w:ind w:left="2570" w:hanging="360"/>
      </w:pPr>
    </w:lvl>
    <w:lvl w:ilvl="3" w:tplc="08090001">
      <w:start w:val="1"/>
      <w:numFmt w:val="bullet"/>
      <w:lvlText w:val=""/>
      <w:lvlJc w:val="left"/>
      <w:pPr>
        <w:ind w:left="3290" w:hanging="360"/>
      </w:pPr>
      <w:rPr>
        <w:rFonts w:ascii="Symbol" w:hAnsi="Symbol" w:hint="default"/>
      </w:rPr>
    </w:lvl>
    <w:lvl w:ilvl="4" w:tplc="08090003">
      <w:start w:val="1"/>
      <w:numFmt w:val="bullet"/>
      <w:lvlText w:val="o"/>
      <w:lvlJc w:val="left"/>
      <w:pPr>
        <w:ind w:left="4010" w:hanging="360"/>
      </w:pPr>
      <w:rPr>
        <w:rFonts w:ascii="Courier New" w:hAnsi="Courier New" w:cs="Courier New" w:hint="default"/>
      </w:rPr>
    </w:lvl>
    <w:lvl w:ilvl="5" w:tplc="08090005">
      <w:start w:val="1"/>
      <w:numFmt w:val="bullet"/>
      <w:lvlText w:val=""/>
      <w:lvlJc w:val="left"/>
      <w:pPr>
        <w:ind w:left="4730" w:hanging="360"/>
      </w:pPr>
      <w:rPr>
        <w:rFonts w:ascii="Wingdings" w:hAnsi="Wingdings" w:hint="default"/>
      </w:rPr>
    </w:lvl>
    <w:lvl w:ilvl="6" w:tplc="08090001">
      <w:start w:val="1"/>
      <w:numFmt w:val="bullet"/>
      <w:lvlText w:val=""/>
      <w:lvlJc w:val="left"/>
      <w:pPr>
        <w:ind w:left="5450" w:hanging="360"/>
      </w:pPr>
      <w:rPr>
        <w:rFonts w:ascii="Symbol" w:hAnsi="Symbol" w:hint="default"/>
      </w:rPr>
    </w:lvl>
    <w:lvl w:ilvl="7" w:tplc="08090003">
      <w:start w:val="1"/>
      <w:numFmt w:val="bullet"/>
      <w:lvlText w:val="o"/>
      <w:lvlJc w:val="left"/>
      <w:pPr>
        <w:ind w:left="6170" w:hanging="360"/>
      </w:pPr>
      <w:rPr>
        <w:rFonts w:ascii="Courier New" w:hAnsi="Courier New" w:cs="Courier New" w:hint="default"/>
      </w:rPr>
    </w:lvl>
    <w:lvl w:ilvl="8" w:tplc="08090005">
      <w:start w:val="1"/>
      <w:numFmt w:val="bullet"/>
      <w:lvlText w:val=""/>
      <w:lvlJc w:val="left"/>
      <w:pPr>
        <w:ind w:left="6890" w:hanging="360"/>
      </w:pPr>
      <w:rPr>
        <w:rFonts w:ascii="Wingdings" w:hAnsi="Wingdings" w:hint="default"/>
      </w:rPr>
    </w:lvl>
  </w:abstractNum>
  <w:abstractNum w:abstractNumId="4" w15:restartNumberingAfterBreak="0">
    <w:nsid w:val="0DF40CE9"/>
    <w:multiLevelType w:val="multilevel"/>
    <w:tmpl w:val="14FC5E9A"/>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3327B2"/>
    <w:multiLevelType w:val="multilevel"/>
    <w:tmpl w:val="72907E2E"/>
    <w:lvl w:ilvl="0">
      <w:start w:val="2"/>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spacing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BA47F5"/>
    <w:multiLevelType w:val="hybridMultilevel"/>
    <w:tmpl w:val="1FEC153A"/>
    <w:lvl w:ilvl="0" w:tplc="662C1BC2">
      <w:start w:val="1"/>
      <w:numFmt w:val="lowerLetter"/>
      <w:lvlText w:val="(%1)"/>
      <w:lvlJc w:val="left"/>
      <w:pPr>
        <w:ind w:left="1507" w:hanging="360"/>
      </w:pPr>
    </w:lvl>
    <w:lvl w:ilvl="1" w:tplc="08090019">
      <w:start w:val="1"/>
      <w:numFmt w:val="lowerLetter"/>
      <w:lvlText w:val="%2."/>
      <w:lvlJc w:val="left"/>
      <w:pPr>
        <w:ind w:left="2227" w:hanging="360"/>
      </w:pPr>
    </w:lvl>
    <w:lvl w:ilvl="2" w:tplc="0809001B">
      <w:start w:val="1"/>
      <w:numFmt w:val="lowerRoman"/>
      <w:lvlText w:val="%3."/>
      <w:lvlJc w:val="right"/>
      <w:pPr>
        <w:ind w:left="2947" w:hanging="180"/>
      </w:pPr>
    </w:lvl>
    <w:lvl w:ilvl="3" w:tplc="0809000F">
      <w:start w:val="1"/>
      <w:numFmt w:val="decimal"/>
      <w:lvlText w:val="%4."/>
      <w:lvlJc w:val="left"/>
      <w:pPr>
        <w:ind w:left="3667" w:hanging="360"/>
      </w:pPr>
    </w:lvl>
    <w:lvl w:ilvl="4" w:tplc="08090019">
      <w:start w:val="1"/>
      <w:numFmt w:val="lowerLetter"/>
      <w:lvlText w:val="%5."/>
      <w:lvlJc w:val="left"/>
      <w:pPr>
        <w:ind w:left="4387" w:hanging="360"/>
      </w:pPr>
    </w:lvl>
    <w:lvl w:ilvl="5" w:tplc="0809001B">
      <w:start w:val="1"/>
      <w:numFmt w:val="lowerRoman"/>
      <w:lvlText w:val="%6."/>
      <w:lvlJc w:val="right"/>
      <w:pPr>
        <w:ind w:left="5107" w:hanging="180"/>
      </w:pPr>
    </w:lvl>
    <w:lvl w:ilvl="6" w:tplc="0809000F">
      <w:start w:val="1"/>
      <w:numFmt w:val="decimal"/>
      <w:lvlText w:val="%7."/>
      <w:lvlJc w:val="left"/>
      <w:pPr>
        <w:ind w:left="5827" w:hanging="360"/>
      </w:pPr>
    </w:lvl>
    <w:lvl w:ilvl="7" w:tplc="08090019">
      <w:start w:val="1"/>
      <w:numFmt w:val="lowerLetter"/>
      <w:lvlText w:val="%8."/>
      <w:lvlJc w:val="left"/>
      <w:pPr>
        <w:ind w:left="6547" w:hanging="360"/>
      </w:pPr>
    </w:lvl>
    <w:lvl w:ilvl="8" w:tplc="0809001B">
      <w:start w:val="1"/>
      <w:numFmt w:val="lowerRoman"/>
      <w:lvlText w:val="%9."/>
      <w:lvlJc w:val="right"/>
      <w:pPr>
        <w:ind w:left="7267" w:hanging="180"/>
      </w:pPr>
    </w:lvl>
  </w:abstractNum>
  <w:abstractNum w:abstractNumId="7" w15:restartNumberingAfterBreak="0">
    <w:nsid w:val="1C21559B"/>
    <w:multiLevelType w:val="hybridMultilevel"/>
    <w:tmpl w:val="BF4A1D6C"/>
    <w:lvl w:ilvl="0" w:tplc="40C07A88">
      <w:start w:val="1"/>
      <w:numFmt w:val="lowerLetter"/>
      <w:lvlText w:val="(%1)"/>
      <w:lvlJc w:val="left"/>
      <w:pPr>
        <w:ind w:left="1130" w:hanging="360"/>
      </w:pPr>
      <w:rPr>
        <w:spacing w:val="0"/>
        <w:sz w:val="24"/>
        <w:szCs w:val="24"/>
      </w:rPr>
    </w:lvl>
    <w:lvl w:ilvl="1" w:tplc="08090003">
      <w:start w:val="1"/>
      <w:numFmt w:val="bullet"/>
      <w:lvlText w:val="o"/>
      <w:lvlJc w:val="left"/>
      <w:pPr>
        <w:ind w:left="1850" w:hanging="360"/>
      </w:pPr>
      <w:rPr>
        <w:rFonts w:ascii="Courier New" w:hAnsi="Courier New" w:cs="Courier New" w:hint="default"/>
      </w:rPr>
    </w:lvl>
    <w:lvl w:ilvl="2" w:tplc="08090011">
      <w:start w:val="1"/>
      <w:numFmt w:val="decimal"/>
      <w:lvlText w:val="%3)"/>
      <w:lvlJc w:val="left"/>
      <w:pPr>
        <w:ind w:left="2570" w:hanging="360"/>
      </w:pPr>
    </w:lvl>
    <w:lvl w:ilvl="3" w:tplc="08090019">
      <w:start w:val="1"/>
      <w:numFmt w:val="lowerLetter"/>
      <w:lvlText w:val="%4."/>
      <w:lvlJc w:val="left"/>
      <w:pPr>
        <w:ind w:left="3290" w:hanging="360"/>
      </w:pPr>
    </w:lvl>
    <w:lvl w:ilvl="4" w:tplc="08090003">
      <w:start w:val="1"/>
      <w:numFmt w:val="bullet"/>
      <w:lvlText w:val="o"/>
      <w:lvlJc w:val="left"/>
      <w:pPr>
        <w:ind w:left="4010" w:hanging="360"/>
      </w:pPr>
      <w:rPr>
        <w:rFonts w:ascii="Courier New" w:hAnsi="Courier New" w:cs="Courier New" w:hint="default"/>
      </w:rPr>
    </w:lvl>
    <w:lvl w:ilvl="5" w:tplc="08090005">
      <w:start w:val="1"/>
      <w:numFmt w:val="bullet"/>
      <w:lvlText w:val=""/>
      <w:lvlJc w:val="left"/>
      <w:pPr>
        <w:ind w:left="4730" w:hanging="360"/>
      </w:pPr>
      <w:rPr>
        <w:rFonts w:ascii="Wingdings" w:hAnsi="Wingdings" w:hint="default"/>
      </w:rPr>
    </w:lvl>
    <w:lvl w:ilvl="6" w:tplc="08090001">
      <w:start w:val="1"/>
      <w:numFmt w:val="bullet"/>
      <w:lvlText w:val=""/>
      <w:lvlJc w:val="left"/>
      <w:pPr>
        <w:ind w:left="5450" w:hanging="360"/>
      </w:pPr>
      <w:rPr>
        <w:rFonts w:ascii="Symbol" w:hAnsi="Symbol" w:hint="default"/>
      </w:rPr>
    </w:lvl>
    <w:lvl w:ilvl="7" w:tplc="08090003">
      <w:start w:val="1"/>
      <w:numFmt w:val="bullet"/>
      <w:lvlText w:val="o"/>
      <w:lvlJc w:val="left"/>
      <w:pPr>
        <w:ind w:left="6170" w:hanging="360"/>
      </w:pPr>
      <w:rPr>
        <w:rFonts w:ascii="Courier New" w:hAnsi="Courier New" w:cs="Courier New" w:hint="default"/>
      </w:rPr>
    </w:lvl>
    <w:lvl w:ilvl="8" w:tplc="08090005">
      <w:start w:val="1"/>
      <w:numFmt w:val="bullet"/>
      <w:lvlText w:val=""/>
      <w:lvlJc w:val="left"/>
      <w:pPr>
        <w:ind w:left="6890" w:hanging="360"/>
      </w:pPr>
      <w:rPr>
        <w:rFonts w:ascii="Wingdings" w:hAnsi="Wingdings" w:hint="default"/>
      </w:rPr>
    </w:lvl>
  </w:abstractNum>
  <w:abstractNum w:abstractNumId="8" w15:restartNumberingAfterBreak="0">
    <w:nsid w:val="1C686610"/>
    <w:multiLevelType w:val="hybridMultilevel"/>
    <w:tmpl w:val="3EBADE88"/>
    <w:lvl w:ilvl="0" w:tplc="22D0D3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D037C"/>
    <w:multiLevelType w:val="hybridMultilevel"/>
    <w:tmpl w:val="6E063996"/>
    <w:lvl w:ilvl="0" w:tplc="080C0015">
      <w:start w:val="1"/>
      <w:numFmt w:val="upperLetter"/>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BE41149"/>
    <w:multiLevelType w:val="hybridMultilevel"/>
    <w:tmpl w:val="FB7C913E"/>
    <w:lvl w:ilvl="0" w:tplc="FE36EE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16688"/>
    <w:multiLevelType w:val="hybridMultilevel"/>
    <w:tmpl w:val="FFE22B92"/>
    <w:lvl w:ilvl="0" w:tplc="93243E0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10D4F5C"/>
    <w:multiLevelType w:val="hybridMultilevel"/>
    <w:tmpl w:val="003A32BA"/>
    <w:lvl w:ilvl="0" w:tplc="CB7C10D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E86A4D"/>
    <w:multiLevelType w:val="hybridMultilevel"/>
    <w:tmpl w:val="9918CB3C"/>
    <w:lvl w:ilvl="0" w:tplc="40C07A88">
      <w:start w:val="1"/>
      <w:numFmt w:val="lowerLetter"/>
      <w:lvlText w:val="(%1)"/>
      <w:lvlJc w:val="left"/>
      <w:pPr>
        <w:ind w:left="1130" w:hanging="360"/>
      </w:pPr>
      <w:rPr>
        <w:spacing w:val="0"/>
        <w:sz w:val="24"/>
        <w:szCs w:val="24"/>
      </w:rPr>
    </w:lvl>
    <w:lvl w:ilvl="1" w:tplc="08090003">
      <w:start w:val="1"/>
      <w:numFmt w:val="bullet"/>
      <w:lvlText w:val="o"/>
      <w:lvlJc w:val="left"/>
      <w:pPr>
        <w:ind w:left="1850" w:hanging="360"/>
      </w:pPr>
      <w:rPr>
        <w:rFonts w:ascii="Courier New" w:hAnsi="Courier New" w:cs="Courier New" w:hint="default"/>
      </w:rPr>
    </w:lvl>
    <w:lvl w:ilvl="2" w:tplc="08090011">
      <w:start w:val="1"/>
      <w:numFmt w:val="decimal"/>
      <w:lvlText w:val="%3)"/>
      <w:lvlJc w:val="left"/>
      <w:pPr>
        <w:ind w:left="2570" w:hanging="360"/>
      </w:pPr>
    </w:lvl>
    <w:lvl w:ilvl="3" w:tplc="08090019">
      <w:start w:val="1"/>
      <w:numFmt w:val="lowerLetter"/>
      <w:lvlText w:val="%4."/>
      <w:lvlJc w:val="left"/>
      <w:pPr>
        <w:ind w:left="3290" w:hanging="360"/>
      </w:pPr>
    </w:lvl>
    <w:lvl w:ilvl="4" w:tplc="08090003">
      <w:start w:val="1"/>
      <w:numFmt w:val="bullet"/>
      <w:lvlText w:val="o"/>
      <w:lvlJc w:val="left"/>
      <w:pPr>
        <w:ind w:left="4010" w:hanging="360"/>
      </w:pPr>
      <w:rPr>
        <w:rFonts w:ascii="Courier New" w:hAnsi="Courier New" w:cs="Courier New" w:hint="default"/>
      </w:rPr>
    </w:lvl>
    <w:lvl w:ilvl="5" w:tplc="08090005">
      <w:start w:val="1"/>
      <w:numFmt w:val="bullet"/>
      <w:lvlText w:val=""/>
      <w:lvlJc w:val="left"/>
      <w:pPr>
        <w:ind w:left="4730" w:hanging="360"/>
      </w:pPr>
      <w:rPr>
        <w:rFonts w:ascii="Wingdings" w:hAnsi="Wingdings" w:hint="default"/>
      </w:rPr>
    </w:lvl>
    <w:lvl w:ilvl="6" w:tplc="08090001">
      <w:start w:val="1"/>
      <w:numFmt w:val="bullet"/>
      <w:lvlText w:val=""/>
      <w:lvlJc w:val="left"/>
      <w:pPr>
        <w:ind w:left="5450" w:hanging="360"/>
      </w:pPr>
      <w:rPr>
        <w:rFonts w:ascii="Symbol" w:hAnsi="Symbol" w:hint="default"/>
      </w:rPr>
    </w:lvl>
    <w:lvl w:ilvl="7" w:tplc="08090003">
      <w:start w:val="1"/>
      <w:numFmt w:val="bullet"/>
      <w:lvlText w:val="o"/>
      <w:lvlJc w:val="left"/>
      <w:pPr>
        <w:ind w:left="6170" w:hanging="360"/>
      </w:pPr>
      <w:rPr>
        <w:rFonts w:ascii="Courier New" w:hAnsi="Courier New" w:cs="Courier New" w:hint="default"/>
      </w:rPr>
    </w:lvl>
    <w:lvl w:ilvl="8" w:tplc="08090005">
      <w:start w:val="1"/>
      <w:numFmt w:val="bullet"/>
      <w:lvlText w:val=""/>
      <w:lvlJc w:val="left"/>
      <w:pPr>
        <w:ind w:left="6890" w:hanging="360"/>
      </w:pPr>
      <w:rPr>
        <w:rFonts w:ascii="Wingdings" w:hAnsi="Wingdings" w:hint="default"/>
      </w:rPr>
    </w:lvl>
  </w:abstractNum>
  <w:abstractNum w:abstractNumId="14" w15:restartNumberingAfterBreak="0">
    <w:nsid w:val="45F471C1"/>
    <w:multiLevelType w:val="multilevel"/>
    <w:tmpl w:val="4BC08838"/>
    <w:lvl w:ilvl="0">
      <w:start w:val="1"/>
      <w:numFmt w:val="upperRoman"/>
      <w:lvlText w:val="%1."/>
      <w:lvlJc w:val="left"/>
      <w:pPr>
        <w:ind w:left="1080" w:hanging="720"/>
      </w:pPr>
      <w:rPr>
        <w:rFonts w:hint="default"/>
      </w:rPr>
    </w:lvl>
    <w:lvl w:ilvl="1">
      <w:start w:val="1"/>
      <w:numFmt w:val="decimal"/>
      <w:isLgl/>
      <w:lvlText w:val="%1.%2"/>
      <w:lvlJc w:val="left"/>
      <w:pPr>
        <w:ind w:left="843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E9A14A2"/>
    <w:multiLevelType w:val="hybridMultilevel"/>
    <w:tmpl w:val="7FD2F8F0"/>
    <w:lvl w:ilvl="0" w:tplc="448E8382">
      <w:start w:val="17"/>
      <w:numFmt w:val="bullet"/>
      <w:lvlText w:val="-"/>
      <w:lvlJc w:val="left"/>
      <w:pPr>
        <w:ind w:left="360" w:hanging="360"/>
      </w:pPr>
      <w:rPr>
        <w:rFonts w:ascii="Times New Roman" w:eastAsia="Times New Roman" w:hAnsi="Times New Roman" w:cs="Times New Roman"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65745245"/>
    <w:multiLevelType w:val="multilevel"/>
    <w:tmpl w:val="6DE43FC6"/>
    <w:lvl w:ilvl="0">
      <w:start w:val="1"/>
      <w:numFmt w:val="decimal"/>
      <w:pStyle w:val="Heading1"/>
      <w:suff w:val="nothing"/>
      <w:lvlText w:val="Article %1"/>
      <w:lvlJc w:val="left"/>
      <w:pPr>
        <w:ind w:left="4112"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92" w:hanging="624"/>
      </w:pPr>
      <w:rPr>
        <w:rFonts w:hint="default"/>
        <w:b w:val="0"/>
      </w:rPr>
    </w:lvl>
    <w:lvl w:ilvl="2">
      <w:start w:val="1"/>
      <w:numFmt w:val="lowerLetter"/>
      <w:lvlText w:val="%3)"/>
      <w:lvlJc w:val="left"/>
      <w:pPr>
        <w:ind w:left="1283" w:hanging="432"/>
      </w:pPr>
      <w:rPr>
        <w:rFonts w:hint="default"/>
        <w:b w:val="0"/>
        <w:i w:val="0"/>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7" w15:restartNumberingAfterBreak="0">
    <w:nsid w:val="67626802"/>
    <w:multiLevelType w:val="hybridMultilevel"/>
    <w:tmpl w:val="A8C41316"/>
    <w:lvl w:ilvl="0" w:tplc="75748124">
      <w:start w:val="1"/>
      <w:numFmt w:val="bullet"/>
      <w:lvlText w:val=""/>
      <w:lvlJc w:val="left"/>
      <w:pPr>
        <w:tabs>
          <w:tab w:val="num" w:pos="720"/>
        </w:tabs>
        <w:ind w:left="720" w:hanging="360"/>
      </w:pPr>
      <w:rPr>
        <w:rFonts w:ascii="Wingdings" w:hAnsi="Wingdings" w:hint="default"/>
      </w:rPr>
    </w:lvl>
    <w:lvl w:ilvl="1" w:tplc="C4F6CDA0">
      <w:start w:val="1"/>
      <w:numFmt w:val="bullet"/>
      <w:lvlText w:val=""/>
      <w:lvlJc w:val="left"/>
      <w:pPr>
        <w:tabs>
          <w:tab w:val="num" w:pos="1440"/>
        </w:tabs>
        <w:ind w:left="1440" w:hanging="360"/>
      </w:pPr>
      <w:rPr>
        <w:rFonts w:ascii="Wingdings" w:hAnsi="Wingdings" w:hint="default"/>
      </w:rPr>
    </w:lvl>
    <w:lvl w:ilvl="2" w:tplc="1D4A1612" w:tentative="1">
      <w:start w:val="1"/>
      <w:numFmt w:val="bullet"/>
      <w:lvlText w:val=""/>
      <w:lvlJc w:val="left"/>
      <w:pPr>
        <w:tabs>
          <w:tab w:val="num" w:pos="2160"/>
        </w:tabs>
        <w:ind w:left="2160" w:hanging="360"/>
      </w:pPr>
      <w:rPr>
        <w:rFonts w:ascii="Wingdings" w:hAnsi="Wingdings" w:hint="default"/>
      </w:rPr>
    </w:lvl>
    <w:lvl w:ilvl="3" w:tplc="0FAA5A82" w:tentative="1">
      <w:start w:val="1"/>
      <w:numFmt w:val="bullet"/>
      <w:lvlText w:val=""/>
      <w:lvlJc w:val="left"/>
      <w:pPr>
        <w:tabs>
          <w:tab w:val="num" w:pos="2880"/>
        </w:tabs>
        <w:ind w:left="2880" w:hanging="360"/>
      </w:pPr>
      <w:rPr>
        <w:rFonts w:ascii="Wingdings" w:hAnsi="Wingdings" w:hint="default"/>
      </w:rPr>
    </w:lvl>
    <w:lvl w:ilvl="4" w:tplc="95EC1B40" w:tentative="1">
      <w:start w:val="1"/>
      <w:numFmt w:val="bullet"/>
      <w:lvlText w:val=""/>
      <w:lvlJc w:val="left"/>
      <w:pPr>
        <w:tabs>
          <w:tab w:val="num" w:pos="3600"/>
        </w:tabs>
        <w:ind w:left="3600" w:hanging="360"/>
      </w:pPr>
      <w:rPr>
        <w:rFonts w:ascii="Wingdings" w:hAnsi="Wingdings" w:hint="default"/>
      </w:rPr>
    </w:lvl>
    <w:lvl w:ilvl="5" w:tplc="EA14B73A" w:tentative="1">
      <w:start w:val="1"/>
      <w:numFmt w:val="bullet"/>
      <w:lvlText w:val=""/>
      <w:lvlJc w:val="left"/>
      <w:pPr>
        <w:tabs>
          <w:tab w:val="num" w:pos="4320"/>
        </w:tabs>
        <w:ind w:left="4320" w:hanging="360"/>
      </w:pPr>
      <w:rPr>
        <w:rFonts w:ascii="Wingdings" w:hAnsi="Wingdings" w:hint="default"/>
      </w:rPr>
    </w:lvl>
    <w:lvl w:ilvl="6" w:tplc="A03EFCE4" w:tentative="1">
      <w:start w:val="1"/>
      <w:numFmt w:val="bullet"/>
      <w:lvlText w:val=""/>
      <w:lvlJc w:val="left"/>
      <w:pPr>
        <w:tabs>
          <w:tab w:val="num" w:pos="5040"/>
        </w:tabs>
        <w:ind w:left="5040" w:hanging="360"/>
      </w:pPr>
      <w:rPr>
        <w:rFonts w:ascii="Wingdings" w:hAnsi="Wingdings" w:hint="default"/>
      </w:rPr>
    </w:lvl>
    <w:lvl w:ilvl="7" w:tplc="39FCFB56" w:tentative="1">
      <w:start w:val="1"/>
      <w:numFmt w:val="bullet"/>
      <w:lvlText w:val=""/>
      <w:lvlJc w:val="left"/>
      <w:pPr>
        <w:tabs>
          <w:tab w:val="num" w:pos="5760"/>
        </w:tabs>
        <w:ind w:left="5760" w:hanging="360"/>
      </w:pPr>
      <w:rPr>
        <w:rFonts w:ascii="Wingdings" w:hAnsi="Wingdings" w:hint="default"/>
      </w:rPr>
    </w:lvl>
    <w:lvl w:ilvl="8" w:tplc="C6A076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7D041E"/>
    <w:multiLevelType w:val="hybridMultilevel"/>
    <w:tmpl w:val="5A8E6E88"/>
    <w:lvl w:ilvl="0" w:tplc="068EC61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8653549"/>
    <w:multiLevelType w:val="hybridMultilevel"/>
    <w:tmpl w:val="8E5A7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2A2D72"/>
    <w:multiLevelType w:val="hybridMultilevel"/>
    <w:tmpl w:val="34F8971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36A0B85"/>
    <w:multiLevelType w:val="hybridMultilevel"/>
    <w:tmpl w:val="45A89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60B64A4"/>
    <w:multiLevelType w:val="hybridMultilevel"/>
    <w:tmpl w:val="6F9AEE78"/>
    <w:lvl w:ilvl="0" w:tplc="8CCCE8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959C2"/>
    <w:multiLevelType w:val="hybridMultilevel"/>
    <w:tmpl w:val="6E2E7092"/>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BAD618A"/>
    <w:multiLevelType w:val="hybridMultilevel"/>
    <w:tmpl w:val="5916F562"/>
    <w:lvl w:ilvl="0" w:tplc="085E6EC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F4F50C4"/>
    <w:multiLevelType w:val="hybridMultilevel"/>
    <w:tmpl w:val="8A044064"/>
    <w:lvl w:ilvl="0" w:tplc="08090001">
      <w:start w:val="1"/>
      <w:numFmt w:val="bullet"/>
      <w:lvlText w:val=""/>
      <w:lvlJc w:val="left"/>
      <w:pPr>
        <w:ind w:left="2628" w:hanging="360"/>
      </w:pPr>
      <w:rPr>
        <w:rFonts w:ascii="Symbol" w:hAnsi="Symbol" w:hint="default"/>
        <w:spacing w:val="0"/>
        <w:sz w:val="24"/>
        <w:szCs w:val="24"/>
      </w:rPr>
    </w:lvl>
    <w:lvl w:ilvl="1" w:tplc="08090019">
      <w:start w:val="1"/>
      <w:numFmt w:val="lowerLetter"/>
      <w:lvlText w:val="%2."/>
      <w:lvlJc w:val="left"/>
      <w:pPr>
        <w:ind w:left="2561" w:hanging="360"/>
      </w:pPr>
    </w:lvl>
    <w:lvl w:ilvl="2" w:tplc="0809001B">
      <w:start w:val="1"/>
      <w:numFmt w:val="lowerRoman"/>
      <w:lvlText w:val="%3."/>
      <w:lvlJc w:val="right"/>
      <w:pPr>
        <w:ind w:left="3281" w:hanging="180"/>
      </w:pPr>
    </w:lvl>
    <w:lvl w:ilvl="3" w:tplc="0809000F">
      <w:start w:val="1"/>
      <w:numFmt w:val="decimal"/>
      <w:lvlText w:val="%4."/>
      <w:lvlJc w:val="left"/>
      <w:pPr>
        <w:ind w:left="4001" w:hanging="360"/>
      </w:pPr>
    </w:lvl>
    <w:lvl w:ilvl="4" w:tplc="08090019">
      <w:start w:val="1"/>
      <w:numFmt w:val="lowerLetter"/>
      <w:lvlText w:val="%5."/>
      <w:lvlJc w:val="left"/>
      <w:pPr>
        <w:ind w:left="4721" w:hanging="360"/>
      </w:pPr>
    </w:lvl>
    <w:lvl w:ilvl="5" w:tplc="0809001B">
      <w:start w:val="1"/>
      <w:numFmt w:val="lowerRoman"/>
      <w:lvlText w:val="%6."/>
      <w:lvlJc w:val="right"/>
      <w:pPr>
        <w:ind w:left="5441" w:hanging="180"/>
      </w:pPr>
    </w:lvl>
    <w:lvl w:ilvl="6" w:tplc="0809000F">
      <w:start w:val="1"/>
      <w:numFmt w:val="decimal"/>
      <w:lvlText w:val="%7."/>
      <w:lvlJc w:val="left"/>
      <w:pPr>
        <w:ind w:left="6161" w:hanging="360"/>
      </w:pPr>
    </w:lvl>
    <w:lvl w:ilvl="7" w:tplc="08090019">
      <w:start w:val="1"/>
      <w:numFmt w:val="lowerLetter"/>
      <w:lvlText w:val="%8."/>
      <w:lvlJc w:val="left"/>
      <w:pPr>
        <w:ind w:left="6881" w:hanging="360"/>
      </w:pPr>
    </w:lvl>
    <w:lvl w:ilvl="8" w:tplc="0809001B">
      <w:start w:val="1"/>
      <w:numFmt w:val="lowerRoman"/>
      <w:lvlText w:val="%9."/>
      <w:lvlJc w:val="right"/>
      <w:pPr>
        <w:ind w:left="7601" w:hanging="180"/>
      </w:pPr>
    </w:lvl>
  </w:abstractNum>
  <w:num w:numId="1">
    <w:abstractNumId w:val="22"/>
  </w:num>
  <w:num w:numId="2">
    <w:abstractNumId w:val="8"/>
  </w:num>
  <w:num w:numId="3">
    <w:abstractNumId w:val="12"/>
  </w:num>
  <w:num w:numId="4">
    <w:abstractNumId w:val="10"/>
  </w:num>
  <w:num w:numId="5">
    <w:abstractNumId w:val="11"/>
  </w:num>
  <w:num w:numId="6">
    <w:abstractNumId w:val="17"/>
  </w:num>
  <w:num w:numId="7">
    <w:abstractNumId w:val="2"/>
  </w:num>
  <w:num w:numId="8">
    <w:abstractNumId w:val="16"/>
  </w:num>
  <w:num w:numId="9">
    <w:abstractNumId w:val="4"/>
  </w:num>
  <w:num w:numId="10">
    <w:abstractNumId w:val="18"/>
  </w:num>
  <w:num w:numId="11">
    <w:abstractNumId w:val="1"/>
  </w:num>
  <w:num w:numId="12">
    <w:abstractNumId w:val="23"/>
  </w:num>
  <w:num w:numId="13">
    <w:abstractNumId w:val="20"/>
  </w:num>
  <w:num w:numId="14">
    <w:abstractNumId w:val="14"/>
  </w:num>
  <w:num w:numId="15">
    <w:abstractNumId w:val="0"/>
  </w:num>
  <w:num w:numId="16">
    <w:abstractNumId w:val="15"/>
  </w:num>
  <w:num w:numId="17">
    <w:abstractNumId w:val="24"/>
  </w:num>
  <w:num w:numId="18">
    <w:abstractNumId w:val="9"/>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22">
    <w:abstractNumId w:val="7"/>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23">
    <w:abstractNumId w:val="13"/>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38C7"/>
    <w:rsid w:val="00013847"/>
    <w:rsid w:val="00016AAB"/>
    <w:rsid w:val="00016D4A"/>
    <w:rsid w:val="00031B12"/>
    <w:rsid w:val="0003652B"/>
    <w:rsid w:val="000415E8"/>
    <w:rsid w:val="000434B4"/>
    <w:rsid w:val="00043D75"/>
    <w:rsid w:val="00046076"/>
    <w:rsid w:val="00046FF6"/>
    <w:rsid w:val="00054CC8"/>
    <w:rsid w:val="0005649B"/>
    <w:rsid w:val="000600D8"/>
    <w:rsid w:val="00062B38"/>
    <w:rsid w:val="0006494D"/>
    <w:rsid w:val="00076476"/>
    <w:rsid w:val="00076E86"/>
    <w:rsid w:val="00084BCE"/>
    <w:rsid w:val="00085CF4"/>
    <w:rsid w:val="0008742E"/>
    <w:rsid w:val="00091260"/>
    <w:rsid w:val="000932A9"/>
    <w:rsid w:val="00096C3A"/>
    <w:rsid w:val="000A1DAD"/>
    <w:rsid w:val="000A33D6"/>
    <w:rsid w:val="000B26B9"/>
    <w:rsid w:val="000C0581"/>
    <w:rsid w:val="000C3C6F"/>
    <w:rsid w:val="000C3C9F"/>
    <w:rsid w:val="000D23D8"/>
    <w:rsid w:val="000E05DB"/>
    <w:rsid w:val="000E5F8C"/>
    <w:rsid w:val="000F7427"/>
    <w:rsid w:val="001102F7"/>
    <w:rsid w:val="001129A7"/>
    <w:rsid w:val="001159BE"/>
    <w:rsid w:val="0012279E"/>
    <w:rsid w:val="001242CE"/>
    <w:rsid w:val="00133B9F"/>
    <w:rsid w:val="0013746C"/>
    <w:rsid w:val="00143BE9"/>
    <w:rsid w:val="00144C57"/>
    <w:rsid w:val="001466B8"/>
    <w:rsid w:val="0015018A"/>
    <w:rsid w:val="00156BE8"/>
    <w:rsid w:val="00161667"/>
    <w:rsid w:val="00165C1B"/>
    <w:rsid w:val="00171B42"/>
    <w:rsid w:val="00174D72"/>
    <w:rsid w:val="00175991"/>
    <w:rsid w:val="001778CD"/>
    <w:rsid w:val="0018157D"/>
    <w:rsid w:val="00191E0B"/>
    <w:rsid w:val="00197797"/>
    <w:rsid w:val="00197EFD"/>
    <w:rsid w:val="001A094D"/>
    <w:rsid w:val="001A56B8"/>
    <w:rsid w:val="001A6597"/>
    <w:rsid w:val="001B2333"/>
    <w:rsid w:val="001B432C"/>
    <w:rsid w:val="001C01CF"/>
    <w:rsid w:val="001C2CD9"/>
    <w:rsid w:val="001C41DF"/>
    <w:rsid w:val="001C5321"/>
    <w:rsid w:val="001E2C01"/>
    <w:rsid w:val="001E4B4F"/>
    <w:rsid w:val="001E7DD3"/>
    <w:rsid w:val="001F03C1"/>
    <w:rsid w:val="001F0D45"/>
    <w:rsid w:val="001F3DA8"/>
    <w:rsid w:val="001F4D3B"/>
    <w:rsid w:val="00203685"/>
    <w:rsid w:val="002114AE"/>
    <w:rsid w:val="002169EC"/>
    <w:rsid w:val="00222CC6"/>
    <w:rsid w:val="00237CD9"/>
    <w:rsid w:val="002470E2"/>
    <w:rsid w:val="00247236"/>
    <w:rsid w:val="00251F1C"/>
    <w:rsid w:val="00260AA7"/>
    <w:rsid w:val="002662E4"/>
    <w:rsid w:val="00277075"/>
    <w:rsid w:val="00281233"/>
    <w:rsid w:val="00281CE2"/>
    <w:rsid w:val="00282456"/>
    <w:rsid w:val="00282AD3"/>
    <w:rsid w:val="00282C50"/>
    <w:rsid w:val="00284A08"/>
    <w:rsid w:val="002969DC"/>
    <w:rsid w:val="002C366E"/>
    <w:rsid w:val="002E0358"/>
    <w:rsid w:val="002F7F19"/>
    <w:rsid w:val="00302C7C"/>
    <w:rsid w:val="00315254"/>
    <w:rsid w:val="003355F7"/>
    <w:rsid w:val="003461E1"/>
    <w:rsid w:val="0035078C"/>
    <w:rsid w:val="003509AF"/>
    <w:rsid w:val="00351955"/>
    <w:rsid w:val="00354F5E"/>
    <w:rsid w:val="00357717"/>
    <w:rsid w:val="00360490"/>
    <w:rsid w:val="003638C7"/>
    <w:rsid w:val="00366351"/>
    <w:rsid w:val="003762E4"/>
    <w:rsid w:val="00384B3E"/>
    <w:rsid w:val="00387443"/>
    <w:rsid w:val="003914DB"/>
    <w:rsid w:val="003918E7"/>
    <w:rsid w:val="00397684"/>
    <w:rsid w:val="003A681E"/>
    <w:rsid w:val="003B0377"/>
    <w:rsid w:val="003B322F"/>
    <w:rsid w:val="003C008E"/>
    <w:rsid w:val="003C095C"/>
    <w:rsid w:val="003C5C9F"/>
    <w:rsid w:val="003C62A7"/>
    <w:rsid w:val="003C7A10"/>
    <w:rsid w:val="003D0914"/>
    <w:rsid w:val="003D18D0"/>
    <w:rsid w:val="003D1D01"/>
    <w:rsid w:val="003D3A25"/>
    <w:rsid w:val="003D63BF"/>
    <w:rsid w:val="003D75C2"/>
    <w:rsid w:val="003E0D97"/>
    <w:rsid w:val="003E24FA"/>
    <w:rsid w:val="003E477F"/>
    <w:rsid w:val="003E51BB"/>
    <w:rsid w:val="003E6038"/>
    <w:rsid w:val="003F42E5"/>
    <w:rsid w:val="004052DF"/>
    <w:rsid w:val="00405527"/>
    <w:rsid w:val="0041088B"/>
    <w:rsid w:val="00434C36"/>
    <w:rsid w:val="00440788"/>
    <w:rsid w:val="0044339E"/>
    <w:rsid w:val="004436EF"/>
    <w:rsid w:val="004437EC"/>
    <w:rsid w:val="00474419"/>
    <w:rsid w:val="00483A8F"/>
    <w:rsid w:val="00491C39"/>
    <w:rsid w:val="0049252C"/>
    <w:rsid w:val="004962C4"/>
    <w:rsid w:val="004A0CD5"/>
    <w:rsid w:val="004B5E09"/>
    <w:rsid w:val="004C3A57"/>
    <w:rsid w:val="004D1034"/>
    <w:rsid w:val="004D136D"/>
    <w:rsid w:val="004D4717"/>
    <w:rsid w:val="004D58C0"/>
    <w:rsid w:val="004E29EA"/>
    <w:rsid w:val="004F1242"/>
    <w:rsid w:val="004F7177"/>
    <w:rsid w:val="00512A59"/>
    <w:rsid w:val="005172E3"/>
    <w:rsid w:val="005177FF"/>
    <w:rsid w:val="0052254F"/>
    <w:rsid w:val="00525EF4"/>
    <w:rsid w:val="00543940"/>
    <w:rsid w:val="005566C4"/>
    <w:rsid w:val="00561604"/>
    <w:rsid w:val="00562B27"/>
    <w:rsid w:val="00564EFA"/>
    <w:rsid w:val="00566EBA"/>
    <w:rsid w:val="00571780"/>
    <w:rsid w:val="00574EE5"/>
    <w:rsid w:val="00585519"/>
    <w:rsid w:val="00590D47"/>
    <w:rsid w:val="00594CEC"/>
    <w:rsid w:val="005951B6"/>
    <w:rsid w:val="005A56D3"/>
    <w:rsid w:val="005B19D6"/>
    <w:rsid w:val="005B1D52"/>
    <w:rsid w:val="005B3954"/>
    <w:rsid w:val="005B3AF9"/>
    <w:rsid w:val="005C018E"/>
    <w:rsid w:val="005C1FDD"/>
    <w:rsid w:val="005C622C"/>
    <w:rsid w:val="005D0EE6"/>
    <w:rsid w:val="005E36C8"/>
    <w:rsid w:val="00601B6E"/>
    <w:rsid w:val="006036AD"/>
    <w:rsid w:val="00605F9D"/>
    <w:rsid w:val="0061430F"/>
    <w:rsid w:val="00620150"/>
    <w:rsid w:val="00627F7B"/>
    <w:rsid w:val="00633E18"/>
    <w:rsid w:val="006628A0"/>
    <w:rsid w:val="006644B4"/>
    <w:rsid w:val="00687765"/>
    <w:rsid w:val="00691DB6"/>
    <w:rsid w:val="006A1B2B"/>
    <w:rsid w:val="006B2063"/>
    <w:rsid w:val="006C293F"/>
    <w:rsid w:val="006D22A0"/>
    <w:rsid w:val="006D49CF"/>
    <w:rsid w:val="006E4933"/>
    <w:rsid w:val="006E5612"/>
    <w:rsid w:val="006E623D"/>
    <w:rsid w:val="006F46D1"/>
    <w:rsid w:val="0070098F"/>
    <w:rsid w:val="007035A6"/>
    <w:rsid w:val="0070396F"/>
    <w:rsid w:val="00707C8C"/>
    <w:rsid w:val="007131AB"/>
    <w:rsid w:val="00731710"/>
    <w:rsid w:val="00731CD3"/>
    <w:rsid w:val="00734058"/>
    <w:rsid w:val="00740122"/>
    <w:rsid w:val="00743FAF"/>
    <w:rsid w:val="00747551"/>
    <w:rsid w:val="00750E07"/>
    <w:rsid w:val="00751D2C"/>
    <w:rsid w:val="007527E0"/>
    <w:rsid w:val="00763390"/>
    <w:rsid w:val="00766559"/>
    <w:rsid w:val="007731D7"/>
    <w:rsid w:val="007A11BD"/>
    <w:rsid w:val="007A5981"/>
    <w:rsid w:val="007B0022"/>
    <w:rsid w:val="007B2472"/>
    <w:rsid w:val="007B35A7"/>
    <w:rsid w:val="007C2534"/>
    <w:rsid w:val="007C2DBA"/>
    <w:rsid w:val="007D4667"/>
    <w:rsid w:val="007E1C92"/>
    <w:rsid w:val="007E7C16"/>
    <w:rsid w:val="007F4B1B"/>
    <w:rsid w:val="007F6168"/>
    <w:rsid w:val="007F7037"/>
    <w:rsid w:val="0080467F"/>
    <w:rsid w:val="008104C7"/>
    <w:rsid w:val="00810DCE"/>
    <w:rsid w:val="00814259"/>
    <w:rsid w:val="00823F22"/>
    <w:rsid w:val="008327CA"/>
    <w:rsid w:val="00833FD7"/>
    <w:rsid w:val="008420A0"/>
    <w:rsid w:val="0084605E"/>
    <w:rsid w:val="00855650"/>
    <w:rsid w:val="008638E9"/>
    <w:rsid w:val="00871986"/>
    <w:rsid w:val="008844C4"/>
    <w:rsid w:val="00884F9D"/>
    <w:rsid w:val="0088669C"/>
    <w:rsid w:val="00897156"/>
    <w:rsid w:val="008A4C17"/>
    <w:rsid w:val="008B334C"/>
    <w:rsid w:val="008B7EED"/>
    <w:rsid w:val="008C4814"/>
    <w:rsid w:val="008D19FE"/>
    <w:rsid w:val="008D49CD"/>
    <w:rsid w:val="008D7741"/>
    <w:rsid w:val="008E1EA4"/>
    <w:rsid w:val="008E3B27"/>
    <w:rsid w:val="008E4CE0"/>
    <w:rsid w:val="008E7CD9"/>
    <w:rsid w:val="008F2CF6"/>
    <w:rsid w:val="008F6FFE"/>
    <w:rsid w:val="009143FE"/>
    <w:rsid w:val="00915530"/>
    <w:rsid w:val="00916B82"/>
    <w:rsid w:val="0091764D"/>
    <w:rsid w:val="00921ACA"/>
    <w:rsid w:val="009220E2"/>
    <w:rsid w:val="00930E5A"/>
    <w:rsid w:val="0093193B"/>
    <w:rsid w:val="009335F2"/>
    <w:rsid w:val="00944F0A"/>
    <w:rsid w:val="009523DF"/>
    <w:rsid w:val="00961502"/>
    <w:rsid w:val="00962B54"/>
    <w:rsid w:val="009678A2"/>
    <w:rsid w:val="009736EF"/>
    <w:rsid w:val="00976E3B"/>
    <w:rsid w:val="009952C5"/>
    <w:rsid w:val="009B5592"/>
    <w:rsid w:val="009B5F4E"/>
    <w:rsid w:val="009C21C5"/>
    <w:rsid w:val="009C3A67"/>
    <w:rsid w:val="009C6F90"/>
    <w:rsid w:val="009D0B4E"/>
    <w:rsid w:val="009D3C33"/>
    <w:rsid w:val="009D3CE3"/>
    <w:rsid w:val="009E3FD6"/>
    <w:rsid w:val="009F3B06"/>
    <w:rsid w:val="009F65FA"/>
    <w:rsid w:val="009F680C"/>
    <w:rsid w:val="00A01CB8"/>
    <w:rsid w:val="00A126AD"/>
    <w:rsid w:val="00A12B8D"/>
    <w:rsid w:val="00A15AE3"/>
    <w:rsid w:val="00A15FDB"/>
    <w:rsid w:val="00A17D51"/>
    <w:rsid w:val="00A270A6"/>
    <w:rsid w:val="00A3034C"/>
    <w:rsid w:val="00A321F0"/>
    <w:rsid w:val="00A338E7"/>
    <w:rsid w:val="00A341A3"/>
    <w:rsid w:val="00A545D0"/>
    <w:rsid w:val="00A5579F"/>
    <w:rsid w:val="00A605A3"/>
    <w:rsid w:val="00A622F1"/>
    <w:rsid w:val="00A67054"/>
    <w:rsid w:val="00A675CB"/>
    <w:rsid w:val="00A7210D"/>
    <w:rsid w:val="00A732E8"/>
    <w:rsid w:val="00A903D3"/>
    <w:rsid w:val="00A9287B"/>
    <w:rsid w:val="00A94610"/>
    <w:rsid w:val="00A970EE"/>
    <w:rsid w:val="00AA5A43"/>
    <w:rsid w:val="00AB1C0D"/>
    <w:rsid w:val="00AB21DF"/>
    <w:rsid w:val="00AC4911"/>
    <w:rsid w:val="00AD54A1"/>
    <w:rsid w:val="00AE7BB1"/>
    <w:rsid w:val="00AF6AEC"/>
    <w:rsid w:val="00AF73B8"/>
    <w:rsid w:val="00B0229F"/>
    <w:rsid w:val="00B03620"/>
    <w:rsid w:val="00B053C7"/>
    <w:rsid w:val="00B0724D"/>
    <w:rsid w:val="00B1182C"/>
    <w:rsid w:val="00B11E11"/>
    <w:rsid w:val="00B15C12"/>
    <w:rsid w:val="00B21080"/>
    <w:rsid w:val="00B2223D"/>
    <w:rsid w:val="00B24048"/>
    <w:rsid w:val="00B44242"/>
    <w:rsid w:val="00B4425B"/>
    <w:rsid w:val="00B45500"/>
    <w:rsid w:val="00B5183D"/>
    <w:rsid w:val="00B55DA5"/>
    <w:rsid w:val="00B55DC3"/>
    <w:rsid w:val="00B57458"/>
    <w:rsid w:val="00B578C2"/>
    <w:rsid w:val="00B64C2E"/>
    <w:rsid w:val="00B64C99"/>
    <w:rsid w:val="00B74F9A"/>
    <w:rsid w:val="00B9678E"/>
    <w:rsid w:val="00BB67A4"/>
    <w:rsid w:val="00BC1984"/>
    <w:rsid w:val="00BC1C65"/>
    <w:rsid w:val="00BC6C46"/>
    <w:rsid w:val="00BD2D4C"/>
    <w:rsid w:val="00BE05C9"/>
    <w:rsid w:val="00BE0C73"/>
    <w:rsid w:val="00BF09FF"/>
    <w:rsid w:val="00BF23BE"/>
    <w:rsid w:val="00BF3F10"/>
    <w:rsid w:val="00C0385A"/>
    <w:rsid w:val="00C17D04"/>
    <w:rsid w:val="00C21037"/>
    <w:rsid w:val="00C21CAC"/>
    <w:rsid w:val="00C25EAC"/>
    <w:rsid w:val="00C42D9C"/>
    <w:rsid w:val="00C4478D"/>
    <w:rsid w:val="00C4625F"/>
    <w:rsid w:val="00C62045"/>
    <w:rsid w:val="00C64767"/>
    <w:rsid w:val="00C66378"/>
    <w:rsid w:val="00C778B8"/>
    <w:rsid w:val="00C9039C"/>
    <w:rsid w:val="00CA23B4"/>
    <w:rsid w:val="00CA7D78"/>
    <w:rsid w:val="00CD657A"/>
    <w:rsid w:val="00CE0BC5"/>
    <w:rsid w:val="00CE44FD"/>
    <w:rsid w:val="00CF3A55"/>
    <w:rsid w:val="00CF7E7E"/>
    <w:rsid w:val="00D048B5"/>
    <w:rsid w:val="00D06813"/>
    <w:rsid w:val="00D07BC8"/>
    <w:rsid w:val="00D10F8B"/>
    <w:rsid w:val="00D11888"/>
    <w:rsid w:val="00D130FF"/>
    <w:rsid w:val="00D13999"/>
    <w:rsid w:val="00D15D94"/>
    <w:rsid w:val="00D21C6F"/>
    <w:rsid w:val="00D24FEE"/>
    <w:rsid w:val="00D27467"/>
    <w:rsid w:val="00D36B0F"/>
    <w:rsid w:val="00D601AA"/>
    <w:rsid w:val="00D6527D"/>
    <w:rsid w:val="00D65C93"/>
    <w:rsid w:val="00D70FAA"/>
    <w:rsid w:val="00D72B8C"/>
    <w:rsid w:val="00D72CCC"/>
    <w:rsid w:val="00D9147A"/>
    <w:rsid w:val="00D92EA1"/>
    <w:rsid w:val="00D933C7"/>
    <w:rsid w:val="00D93923"/>
    <w:rsid w:val="00DA5B73"/>
    <w:rsid w:val="00DA5DAC"/>
    <w:rsid w:val="00DB4E7F"/>
    <w:rsid w:val="00DB7B50"/>
    <w:rsid w:val="00DD1829"/>
    <w:rsid w:val="00DD55DA"/>
    <w:rsid w:val="00DE6FE2"/>
    <w:rsid w:val="00DF0023"/>
    <w:rsid w:val="00DF61FF"/>
    <w:rsid w:val="00E00B69"/>
    <w:rsid w:val="00E10628"/>
    <w:rsid w:val="00E108D6"/>
    <w:rsid w:val="00E13465"/>
    <w:rsid w:val="00E1762B"/>
    <w:rsid w:val="00E21EC1"/>
    <w:rsid w:val="00E2390F"/>
    <w:rsid w:val="00E23A76"/>
    <w:rsid w:val="00E30C13"/>
    <w:rsid w:val="00E35A8C"/>
    <w:rsid w:val="00E37601"/>
    <w:rsid w:val="00E6584A"/>
    <w:rsid w:val="00E66C95"/>
    <w:rsid w:val="00E74618"/>
    <w:rsid w:val="00E75BA5"/>
    <w:rsid w:val="00E77E09"/>
    <w:rsid w:val="00E825C2"/>
    <w:rsid w:val="00E82C37"/>
    <w:rsid w:val="00E95B9B"/>
    <w:rsid w:val="00EA0CAA"/>
    <w:rsid w:val="00EA0E26"/>
    <w:rsid w:val="00EA406F"/>
    <w:rsid w:val="00EB016E"/>
    <w:rsid w:val="00EB0E1D"/>
    <w:rsid w:val="00EB317D"/>
    <w:rsid w:val="00EB6FAE"/>
    <w:rsid w:val="00EC1DAB"/>
    <w:rsid w:val="00ED1492"/>
    <w:rsid w:val="00ED5EFD"/>
    <w:rsid w:val="00ED64D5"/>
    <w:rsid w:val="00EE0315"/>
    <w:rsid w:val="00EE62FC"/>
    <w:rsid w:val="00EF270A"/>
    <w:rsid w:val="00EF73D7"/>
    <w:rsid w:val="00F06DA9"/>
    <w:rsid w:val="00F16873"/>
    <w:rsid w:val="00F27C10"/>
    <w:rsid w:val="00F30309"/>
    <w:rsid w:val="00F4702D"/>
    <w:rsid w:val="00F51A9F"/>
    <w:rsid w:val="00F5469E"/>
    <w:rsid w:val="00F571B2"/>
    <w:rsid w:val="00F66E23"/>
    <w:rsid w:val="00F6704F"/>
    <w:rsid w:val="00F758FA"/>
    <w:rsid w:val="00F77804"/>
    <w:rsid w:val="00F82543"/>
    <w:rsid w:val="00F8445B"/>
    <w:rsid w:val="00F8784B"/>
    <w:rsid w:val="00F91C3C"/>
    <w:rsid w:val="00FA0300"/>
    <w:rsid w:val="00FC2615"/>
    <w:rsid w:val="00FC31B8"/>
    <w:rsid w:val="00FC69BF"/>
    <w:rsid w:val="00FC7565"/>
    <w:rsid w:val="00FD0E1B"/>
    <w:rsid w:val="00FD5D0D"/>
    <w:rsid w:val="00FE53B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F3E12"/>
  <w15:docId w15:val="{14C77DEC-FA57-428A-954F-8BA71F3A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C7"/>
  </w:style>
  <w:style w:type="paragraph" w:styleId="Heading1">
    <w:name w:val="heading 1"/>
    <w:basedOn w:val="Normal"/>
    <w:next w:val="Normal"/>
    <w:link w:val="Heading1Char"/>
    <w:qFormat/>
    <w:rsid w:val="00DD55DA"/>
    <w:pPr>
      <w:numPr>
        <w:numId w:val="8"/>
      </w:numPr>
      <w:jc w:val="center"/>
      <w:outlineLvl w:val="0"/>
    </w:pPr>
    <w:rPr>
      <w:rFonts w:ascii="Times New Roman" w:eastAsia="Calibri" w:hAnsi="Times New Roman" w:cs="Times New Roman"/>
      <w:b/>
      <w:sz w:val="24"/>
    </w:rPr>
  </w:style>
  <w:style w:type="paragraph" w:styleId="Heading2">
    <w:name w:val="heading 2"/>
    <w:aliases w:val="h2"/>
    <w:basedOn w:val="Normal"/>
    <w:next w:val="Normal"/>
    <w:link w:val="Heading2Char"/>
    <w:uiPriority w:val="99"/>
    <w:unhideWhenUsed/>
    <w:qFormat/>
    <w:rsid w:val="00DD55DA"/>
    <w:pPr>
      <w:keepNext/>
      <w:numPr>
        <w:ilvl w:val="1"/>
        <w:numId w:val="8"/>
      </w:numPr>
      <w:spacing w:before="240" w:after="60"/>
      <w:jc w:val="both"/>
      <w:outlineLvl w:val="1"/>
    </w:pPr>
    <w:rPr>
      <w:rFonts w:ascii="Times New Roman" w:eastAsiaTheme="majorEastAsia" w:hAnsi="Times New Roman" w:cs="Times New Roman"/>
      <w:bCs/>
      <w:iCs/>
      <w:sz w:val="24"/>
      <w:szCs w:val="24"/>
    </w:rPr>
  </w:style>
  <w:style w:type="paragraph" w:styleId="Heading4">
    <w:name w:val="heading 4"/>
    <w:basedOn w:val="Normal"/>
    <w:next w:val="Normal"/>
    <w:link w:val="Heading4Char"/>
    <w:unhideWhenUsed/>
    <w:qFormat/>
    <w:rsid w:val="00DD55DA"/>
    <w:pPr>
      <w:keepNext/>
      <w:numPr>
        <w:ilvl w:val="3"/>
        <w:numId w:val="8"/>
      </w:numPr>
      <w:spacing w:before="240" w:after="60"/>
      <w:jc w:val="both"/>
      <w:outlineLvl w:val="3"/>
    </w:pPr>
    <w:rPr>
      <w:rFonts w:ascii="Times New Roman" w:eastAsiaTheme="minorEastAsia" w:hAnsi="Times New Roman" w:cs="Times New Roman"/>
      <w:bCs/>
      <w:sz w:val="24"/>
      <w:szCs w:val="24"/>
    </w:rPr>
  </w:style>
  <w:style w:type="paragraph" w:styleId="Heading5">
    <w:name w:val="heading 5"/>
    <w:aliases w:val="h5"/>
    <w:basedOn w:val="Normal"/>
    <w:next w:val="Normal"/>
    <w:link w:val="Heading5Char"/>
    <w:uiPriority w:val="99"/>
    <w:unhideWhenUsed/>
    <w:qFormat/>
    <w:rsid w:val="00DD55DA"/>
    <w:pPr>
      <w:numPr>
        <w:ilvl w:val="4"/>
        <w:numId w:val="8"/>
      </w:numPr>
      <w:spacing w:before="240" w:after="60"/>
      <w:outlineLvl w:val="4"/>
    </w:pPr>
    <w:rPr>
      <w:rFonts w:eastAsiaTheme="minorEastAsia"/>
      <w:b/>
      <w:bCs/>
      <w:i/>
      <w:iCs/>
      <w:sz w:val="26"/>
      <w:szCs w:val="26"/>
    </w:rPr>
  </w:style>
  <w:style w:type="paragraph" w:styleId="Heading6">
    <w:name w:val="heading 6"/>
    <w:basedOn w:val="Normal"/>
    <w:next w:val="Normal"/>
    <w:link w:val="Heading6Char"/>
    <w:unhideWhenUsed/>
    <w:qFormat/>
    <w:rsid w:val="00DD55DA"/>
    <w:pPr>
      <w:numPr>
        <w:ilvl w:val="5"/>
        <w:numId w:val="8"/>
      </w:numPr>
      <w:spacing w:before="240" w:after="60"/>
      <w:outlineLvl w:val="5"/>
    </w:pPr>
    <w:rPr>
      <w:rFonts w:eastAsiaTheme="minorEastAsia"/>
      <w:b/>
      <w:bCs/>
      <w:sz w:val="24"/>
    </w:rPr>
  </w:style>
  <w:style w:type="paragraph" w:styleId="Heading7">
    <w:name w:val="heading 7"/>
    <w:basedOn w:val="Normal"/>
    <w:next w:val="Normal"/>
    <w:link w:val="Heading7Char"/>
    <w:unhideWhenUsed/>
    <w:qFormat/>
    <w:rsid w:val="00DD55DA"/>
    <w:pPr>
      <w:numPr>
        <w:ilvl w:val="6"/>
        <w:numId w:val="8"/>
      </w:numPr>
      <w:spacing w:before="240" w:after="60"/>
      <w:outlineLvl w:val="6"/>
    </w:pPr>
    <w:rPr>
      <w:rFonts w:eastAsiaTheme="minorEastAsia"/>
      <w:sz w:val="24"/>
      <w:szCs w:val="24"/>
    </w:rPr>
  </w:style>
  <w:style w:type="paragraph" w:styleId="Heading8">
    <w:name w:val="heading 8"/>
    <w:basedOn w:val="Normal"/>
    <w:next w:val="Normal"/>
    <w:link w:val="Heading8Char"/>
    <w:unhideWhenUsed/>
    <w:qFormat/>
    <w:rsid w:val="00DD55DA"/>
    <w:pPr>
      <w:numPr>
        <w:ilvl w:val="7"/>
        <w:numId w:val="8"/>
      </w:numPr>
      <w:spacing w:before="240" w:after="60"/>
      <w:outlineLvl w:val="7"/>
    </w:pPr>
    <w:rPr>
      <w:rFonts w:eastAsiaTheme="minorEastAsia"/>
      <w:i/>
      <w:iCs/>
      <w:sz w:val="24"/>
      <w:szCs w:val="24"/>
    </w:rPr>
  </w:style>
  <w:style w:type="paragraph" w:styleId="Heading9">
    <w:name w:val="heading 9"/>
    <w:basedOn w:val="Normal"/>
    <w:next w:val="Normal"/>
    <w:link w:val="Heading9Char"/>
    <w:unhideWhenUsed/>
    <w:qFormat/>
    <w:rsid w:val="00DD55DA"/>
    <w:pPr>
      <w:numPr>
        <w:ilvl w:val="8"/>
        <w:numId w:val="8"/>
      </w:numPr>
      <w:spacing w:before="240" w:after="60"/>
      <w:outlineLvl w:val="8"/>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Table of contents numbered,Elenco num ARGEA,body,Odsek zoznamu2,Opsom 1,Mummuga loetelu,Loendi lõik,2,List Paragraph (numbered (a)),Bullets,List Paragraph Char Char Char,Use Case List Paragraph,Bullet paras"/>
    <w:basedOn w:val="Normal"/>
    <w:link w:val="ListParagraphChar"/>
    <w:uiPriority w:val="34"/>
    <w:qFormat/>
    <w:rsid w:val="003638C7"/>
    <w:pPr>
      <w:ind w:left="720"/>
      <w:contextualSpacing/>
    </w:pPr>
  </w:style>
  <w:style w:type="paragraph" w:styleId="Header">
    <w:name w:val="header"/>
    <w:basedOn w:val="Normal"/>
    <w:link w:val="HeaderChar"/>
    <w:uiPriority w:val="99"/>
    <w:unhideWhenUsed/>
    <w:rsid w:val="00085C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CF4"/>
  </w:style>
  <w:style w:type="paragraph" w:styleId="Footer">
    <w:name w:val="footer"/>
    <w:basedOn w:val="Normal"/>
    <w:link w:val="FooterChar"/>
    <w:uiPriority w:val="99"/>
    <w:unhideWhenUsed/>
    <w:rsid w:val="00085C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CF4"/>
  </w:style>
  <w:style w:type="paragraph" w:styleId="BalloonText">
    <w:name w:val="Balloon Text"/>
    <w:basedOn w:val="Normal"/>
    <w:link w:val="BalloonTextChar"/>
    <w:uiPriority w:val="99"/>
    <w:semiHidden/>
    <w:unhideWhenUsed/>
    <w:rsid w:val="00E6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95"/>
    <w:rPr>
      <w:rFonts w:ascii="Tahoma" w:hAnsi="Tahoma" w:cs="Tahoma"/>
      <w:sz w:val="16"/>
      <w:szCs w:val="16"/>
    </w:rPr>
  </w:style>
  <w:style w:type="paragraph" w:styleId="FootnoteText">
    <w:name w:val="footnote text"/>
    <w:aliases w:val="Car,Footnote Text Char1,Footnote Text Char1 Char Char,Footnote Text Char Char Char Char,Footnote Text Char Char Char Char Char Char Char Char,Footnote Text Char Char1,Schriftart: 9 pt,f,Schriftart: 10 pt,Schriftart: 8 pt,o"/>
    <w:basedOn w:val="Normal"/>
    <w:link w:val="FootnoteTextChar"/>
    <w:unhideWhenUsed/>
    <w:rsid w:val="00A9287B"/>
    <w:pPr>
      <w:spacing w:after="0" w:line="240" w:lineRule="auto"/>
    </w:pPr>
    <w:rPr>
      <w:sz w:val="20"/>
      <w:szCs w:val="20"/>
    </w:rPr>
  </w:style>
  <w:style w:type="character" w:customStyle="1" w:styleId="FootnoteTextChar">
    <w:name w:val="Footnote Text Char"/>
    <w:aliases w:val="Car Char,Footnote Text Char1 Char,Footnote Text Char1 Char Char Char,Footnote Text Char Char Char Char Char,Footnote Text Char Char Char Char Char Char Char Char Char,Footnote Text Char Char1 Char,Schriftart: 9 pt Char,f Char,o Char"/>
    <w:basedOn w:val="DefaultParagraphFont"/>
    <w:link w:val="FootnoteText"/>
    <w:rsid w:val="00A9287B"/>
    <w:rPr>
      <w:sz w:val="20"/>
      <w:szCs w:val="20"/>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 BVI fnr"/>
    <w:basedOn w:val="DefaultParagraphFont"/>
    <w:uiPriority w:val="99"/>
    <w:unhideWhenUsed/>
    <w:rsid w:val="00A9287B"/>
    <w:rPr>
      <w:vertAlign w:val="superscript"/>
    </w:rPr>
  </w:style>
  <w:style w:type="character" w:styleId="CommentReference">
    <w:name w:val="annotation reference"/>
    <w:basedOn w:val="DefaultParagraphFont"/>
    <w:uiPriority w:val="99"/>
    <w:semiHidden/>
    <w:unhideWhenUsed/>
    <w:rsid w:val="003C7A10"/>
    <w:rPr>
      <w:sz w:val="16"/>
      <w:szCs w:val="16"/>
    </w:rPr>
  </w:style>
  <w:style w:type="paragraph" w:styleId="CommentText">
    <w:name w:val="annotation text"/>
    <w:basedOn w:val="Normal"/>
    <w:link w:val="CommentTextChar"/>
    <w:uiPriority w:val="99"/>
    <w:semiHidden/>
    <w:unhideWhenUsed/>
    <w:rsid w:val="003C7A10"/>
    <w:pPr>
      <w:spacing w:line="240" w:lineRule="auto"/>
    </w:pPr>
    <w:rPr>
      <w:sz w:val="20"/>
      <w:szCs w:val="20"/>
    </w:rPr>
  </w:style>
  <w:style w:type="character" w:customStyle="1" w:styleId="CommentTextChar">
    <w:name w:val="Comment Text Char"/>
    <w:basedOn w:val="DefaultParagraphFont"/>
    <w:link w:val="CommentText"/>
    <w:uiPriority w:val="99"/>
    <w:semiHidden/>
    <w:rsid w:val="003C7A10"/>
    <w:rPr>
      <w:sz w:val="20"/>
      <w:szCs w:val="20"/>
    </w:rPr>
  </w:style>
  <w:style w:type="paragraph" w:styleId="CommentSubject">
    <w:name w:val="annotation subject"/>
    <w:basedOn w:val="CommentText"/>
    <w:next w:val="CommentText"/>
    <w:link w:val="CommentSubjectChar"/>
    <w:uiPriority w:val="99"/>
    <w:semiHidden/>
    <w:unhideWhenUsed/>
    <w:rsid w:val="003C7A10"/>
    <w:rPr>
      <w:b/>
      <w:bCs/>
    </w:rPr>
  </w:style>
  <w:style w:type="character" w:customStyle="1" w:styleId="CommentSubjectChar">
    <w:name w:val="Comment Subject Char"/>
    <w:basedOn w:val="CommentTextChar"/>
    <w:link w:val="CommentSubject"/>
    <w:uiPriority w:val="99"/>
    <w:semiHidden/>
    <w:rsid w:val="003C7A10"/>
    <w:rPr>
      <w:b/>
      <w:bCs/>
      <w:sz w:val="20"/>
      <w:szCs w:val="20"/>
    </w:rPr>
  </w:style>
  <w:style w:type="paragraph" w:styleId="Revision">
    <w:name w:val="Revision"/>
    <w:hidden/>
    <w:uiPriority w:val="99"/>
    <w:semiHidden/>
    <w:rsid w:val="00D13999"/>
    <w:pPr>
      <w:spacing w:after="0" w:line="240" w:lineRule="auto"/>
    </w:pPr>
  </w:style>
  <w:style w:type="paragraph" w:styleId="NormalWeb">
    <w:name w:val="Normal (Web)"/>
    <w:basedOn w:val="Normal"/>
    <w:uiPriority w:val="99"/>
    <w:unhideWhenUsed/>
    <w:rsid w:val="00DD55DA"/>
    <w:pPr>
      <w:spacing w:after="0" w:line="240" w:lineRule="auto"/>
    </w:pPr>
    <w:rPr>
      <w:rFonts w:ascii="Calibri" w:eastAsia="Calibri" w:hAnsi="Calibri" w:cs="Times New Roman"/>
      <w:lang w:eastAsia="en-GB"/>
    </w:rPr>
  </w:style>
  <w:style w:type="character" w:customStyle="1" w:styleId="Heading1Char">
    <w:name w:val="Heading 1 Char"/>
    <w:basedOn w:val="DefaultParagraphFont"/>
    <w:link w:val="Heading1"/>
    <w:rsid w:val="00DD55DA"/>
    <w:rPr>
      <w:rFonts w:ascii="Times New Roman" w:eastAsia="Calibri" w:hAnsi="Times New Roman" w:cs="Times New Roman"/>
      <w:b/>
      <w:sz w:val="24"/>
    </w:rPr>
  </w:style>
  <w:style w:type="character" w:customStyle="1" w:styleId="Heading2Char">
    <w:name w:val="Heading 2 Char"/>
    <w:aliases w:val="h2 Char"/>
    <w:basedOn w:val="DefaultParagraphFont"/>
    <w:link w:val="Heading2"/>
    <w:uiPriority w:val="99"/>
    <w:rsid w:val="00DD55DA"/>
    <w:rPr>
      <w:rFonts w:ascii="Times New Roman" w:eastAsiaTheme="majorEastAsia" w:hAnsi="Times New Roman" w:cs="Times New Roman"/>
      <w:bCs/>
      <w:iCs/>
      <w:sz w:val="24"/>
      <w:szCs w:val="24"/>
    </w:rPr>
  </w:style>
  <w:style w:type="character" w:customStyle="1" w:styleId="Heading4Char">
    <w:name w:val="Heading 4 Char"/>
    <w:basedOn w:val="DefaultParagraphFont"/>
    <w:link w:val="Heading4"/>
    <w:rsid w:val="00DD55DA"/>
    <w:rPr>
      <w:rFonts w:ascii="Times New Roman" w:eastAsiaTheme="minorEastAsia" w:hAnsi="Times New Roman" w:cs="Times New Roman"/>
      <w:bCs/>
      <w:sz w:val="24"/>
      <w:szCs w:val="24"/>
    </w:rPr>
  </w:style>
  <w:style w:type="character" w:customStyle="1" w:styleId="Heading5Char">
    <w:name w:val="Heading 5 Char"/>
    <w:aliases w:val="h5 Char"/>
    <w:basedOn w:val="DefaultParagraphFont"/>
    <w:link w:val="Heading5"/>
    <w:uiPriority w:val="99"/>
    <w:rsid w:val="00DD55DA"/>
    <w:rPr>
      <w:rFonts w:eastAsiaTheme="minorEastAsia"/>
      <w:b/>
      <w:bCs/>
      <w:i/>
      <w:iCs/>
      <w:sz w:val="26"/>
      <w:szCs w:val="26"/>
    </w:rPr>
  </w:style>
  <w:style w:type="character" w:customStyle="1" w:styleId="Heading6Char">
    <w:name w:val="Heading 6 Char"/>
    <w:basedOn w:val="DefaultParagraphFont"/>
    <w:link w:val="Heading6"/>
    <w:rsid w:val="00DD55DA"/>
    <w:rPr>
      <w:rFonts w:eastAsiaTheme="minorEastAsia"/>
      <w:b/>
      <w:bCs/>
      <w:sz w:val="24"/>
    </w:rPr>
  </w:style>
  <w:style w:type="character" w:customStyle="1" w:styleId="Heading7Char">
    <w:name w:val="Heading 7 Char"/>
    <w:basedOn w:val="DefaultParagraphFont"/>
    <w:link w:val="Heading7"/>
    <w:rsid w:val="00DD55DA"/>
    <w:rPr>
      <w:rFonts w:eastAsiaTheme="minorEastAsia"/>
      <w:sz w:val="24"/>
      <w:szCs w:val="24"/>
    </w:rPr>
  </w:style>
  <w:style w:type="character" w:customStyle="1" w:styleId="Heading8Char">
    <w:name w:val="Heading 8 Char"/>
    <w:basedOn w:val="DefaultParagraphFont"/>
    <w:link w:val="Heading8"/>
    <w:rsid w:val="00DD55DA"/>
    <w:rPr>
      <w:rFonts w:eastAsiaTheme="minorEastAsia"/>
      <w:i/>
      <w:iCs/>
      <w:sz w:val="24"/>
      <w:szCs w:val="24"/>
    </w:rPr>
  </w:style>
  <w:style w:type="character" w:customStyle="1" w:styleId="Heading9Char">
    <w:name w:val="Heading 9 Char"/>
    <w:basedOn w:val="DefaultParagraphFont"/>
    <w:link w:val="Heading9"/>
    <w:rsid w:val="00DD55DA"/>
    <w:rPr>
      <w:rFonts w:asciiTheme="majorHAnsi" w:eastAsiaTheme="majorEastAsia" w:hAnsiTheme="majorHAnsi" w:cstheme="majorBidi"/>
      <w:sz w:val="24"/>
    </w:rPr>
  </w:style>
  <w:style w:type="character" w:customStyle="1" w:styleId="ListParagraphChar">
    <w:name w:val="List Paragraph Char"/>
    <w:aliases w:val="Normal bullet 2 Char,List Paragraph1 Char,Table of contents numbered Char,Elenco num ARGEA Char,body Char,Odsek zoznamu2 Char,Opsom 1 Char,Mummuga loetelu Char,Loendi lõik Char,2 Char,List Paragraph (numbered (a)) Char,Bullets Char"/>
    <w:link w:val="ListParagraph"/>
    <w:uiPriority w:val="34"/>
    <w:qFormat/>
    <w:locked/>
    <w:rsid w:val="00DD55DA"/>
  </w:style>
  <w:style w:type="paragraph" w:customStyle="1" w:styleId="Titrearticle">
    <w:name w:val="Titre article"/>
    <w:basedOn w:val="Normal"/>
    <w:next w:val="Normal"/>
    <w:rsid w:val="0005649B"/>
    <w:pPr>
      <w:keepNext/>
      <w:spacing w:before="360" w:after="120" w:line="240" w:lineRule="auto"/>
      <w:jc w:val="center"/>
    </w:pPr>
    <w:rPr>
      <w:rFonts w:ascii="Times New Roman" w:hAnsi="Times New Roman" w:cs="Times New Roman"/>
      <w:i/>
      <w:sz w:val="24"/>
    </w:rPr>
  </w:style>
  <w:style w:type="table" w:customStyle="1" w:styleId="TableGrid4">
    <w:name w:val="Table Grid4"/>
    <w:basedOn w:val="TableNormal"/>
    <w:next w:val="TableGrid"/>
    <w:uiPriority w:val="59"/>
    <w:rsid w:val="00CE0B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7268">
      <w:bodyDiv w:val="1"/>
      <w:marLeft w:val="0"/>
      <w:marRight w:val="0"/>
      <w:marTop w:val="0"/>
      <w:marBottom w:val="0"/>
      <w:divBdr>
        <w:top w:val="none" w:sz="0" w:space="0" w:color="auto"/>
        <w:left w:val="none" w:sz="0" w:space="0" w:color="auto"/>
        <w:bottom w:val="none" w:sz="0" w:space="0" w:color="auto"/>
        <w:right w:val="none" w:sz="0" w:space="0" w:color="auto"/>
      </w:divBdr>
      <w:divsChild>
        <w:div w:id="974989208">
          <w:marLeft w:val="1166"/>
          <w:marRight w:val="0"/>
          <w:marTop w:val="96"/>
          <w:marBottom w:val="0"/>
          <w:divBdr>
            <w:top w:val="none" w:sz="0" w:space="0" w:color="auto"/>
            <w:left w:val="none" w:sz="0" w:space="0" w:color="auto"/>
            <w:bottom w:val="none" w:sz="0" w:space="0" w:color="auto"/>
            <w:right w:val="none" w:sz="0" w:space="0" w:color="auto"/>
          </w:divBdr>
        </w:div>
      </w:divsChild>
    </w:div>
    <w:div w:id="167016289">
      <w:bodyDiv w:val="1"/>
      <w:marLeft w:val="0"/>
      <w:marRight w:val="0"/>
      <w:marTop w:val="0"/>
      <w:marBottom w:val="0"/>
      <w:divBdr>
        <w:top w:val="none" w:sz="0" w:space="0" w:color="auto"/>
        <w:left w:val="none" w:sz="0" w:space="0" w:color="auto"/>
        <w:bottom w:val="none" w:sz="0" w:space="0" w:color="auto"/>
        <w:right w:val="none" w:sz="0" w:space="0" w:color="auto"/>
      </w:divBdr>
      <w:divsChild>
        <w:div w:id="1881477715">
          <w:marLeft w:val="0"/>
          <w:marRight w:val="0"/>
          <w:marTop w:val="0"/>
          <w:marBottom w:val="0"/>
          <w:divBdr>
            <w:top w:val="none" w:sz="0" w:space="0" w:color="auto"/>
            <w:left w:val="none" w:sz="0" w:space="0" w:color="auto"/>
            <w:bottom w:val="none" w:sz="0" w:space="0" w:color="auto"/>
            <w:right w:val="none" w:sz="0" w:space="0" w:color="auto"/>
          </w:divBdr>
          <w:divsChild>
            <w:div w:id="743316">
              <w:marLeft w:val="0"/>
              <w:marRight w:val="0"/>
              <w:marTop w:val="0"/>
              <w:marBottom w:val="0"/>
              <w:divBdr>
                <w:top w:val="none" w:sz="0" w:space="0" w:color="auto"/>
                <w:left w:val="none" w:sz="0" w:space="0" w:color="auto"/>
                <w:bottom w:val="none" w:sz="0" w:space="0" w:color="auto"/>
                <w:right w:val="none" w:sz="0" w:space="0" w:color="auto"/>
              </w:divBdr>
            </w:div>
            <w:div w:id="20228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3977">
      <w:bodyDiv w:val="1"/>
      <w:marLeft w:val="0"/>
      <w:marRight w:val="0"/>
      <w:marTop w:val="0"/>
      <w:marBottom w:val="0"/>
      <w:divBdr>
        <w:top w:val="none" w:sz="0" w:space="0" w:color="auto"/>
        <w:left w:val="none" w:sz="0" w:space="0" w:color="auto"/>
        <w:bottom w:val="none" w:sz="0" w:space="0" w:color="auto"/>
        <w:right w:val="none" w:sz="0" w:space="0" w:color="auto"/>
      </w:divBdr>
    </w:div>
    <w:div w:id="14028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B0B8928D591D3342AA21DB0F77847991" ma:contentTypeVersion="0" ma:contentTypeDescription="Create a new document in this library." ma:contentTypeScope="" ma:versionID="4d4915a59cce3de5f451c17a856930e1">
  <xsd:schema xmlns:xsd="http://www.w3.org/2001/XMLSchema" xmlns:xs="http://www.w3.org/2001/XMLSchema" xmlns:p="http://schemas.microsoft.com/office/2006/metadata/properties" xmlns:ns2="http://schemas.microsoft.com/sharepoint/v3/fields" xmlns:ns3="5fa405c7-a43f-4c9c-9f5e-0b1316d1a4fa" targetNamespace="http://schemas.microsoft.com/office/2006/metadata/properties" ma:root="true" ma:fieldsID="aa1c0b034828dce037a134cb2f800631" ns2:_="" ns3:_="">
    <xsd:import namespace="http://schemas.microsoft.com/sharepoint/v3/fields"/>
    <xsd:import namespace="5fa405c7-a43f-4c9c-9f5e-0b1316d1a4f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a405c7-a43f-4c9c-9f5e-0b1316d1a4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5fa405c7-a43f-4c9c-9f5e-0b1316d1a4fa" xsi:nil="true"/>
    <EC_Collab_Status xmlns="5fa405c7-a43f-4c9c-9f5e-0b1316d1a4fa">Draft</EC_Collab_Status>
    <EC_Collab_DocumentLanguage xmlns="5fa405c7-a43f-4c9c-9f5e-0b1316d1a4fa">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AF9A-F562-4253-9A68-A3465872E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fa405c7-a43f-4c9c-9f5e-0b1316d1a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E988B-9213-4EC5-8FCF-5B129472695C}">
  <ds:schemaRefs>
    <ds:schemaRef ds:uri="http://schemas.microsoft.com/sharepoint/v3/contenttype/forms"/>
  </ds:schemaRefs>
</ds:datastoreItem>
</file>

<file path=customXml/itemProps3.xml><?xml version="1.0" encoding="utf-8"?>
<ds:datastoreItem xmlns:ds="http://schemas.openxmlformats.org/officeDocument/2006/customXml" ds:itemID="{5FAB8CB6-2BC5-4295-8A68-79085CA902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fa405c7-a43f-4c9c-9f5e-0b1316d1a4fa"/>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96D50A6-80EB-4AE6-86A9-494BB317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3985</Words>
  <Characters>22082</Characters>
  <Application>Microsoft Office Word</Application>
  <DocSecurity>4</DocSecurity>
  <Lines>596</Lines>
  <Paragraphs>239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Nora.MATEI@ec.europa.eu</dc:creator>
  <cp:lastModifiedBy>CASTELLANO Letizia (ECFIN-EXT)</cp:lastModifiedBy>
  <cp:revision>2</cp:revision>
  <cp:lastPrinted>2019-11-15T16:41:00Z</cp:lastPrinted>
  <dcterms:created xsi:type="dcterms:W3CDTF">2019-11-15T17:52:00Z</dcterms:created>
  <dcterms:modified xsi:type="dcterms:W3CDTF">2019-11-15T17:52:00Z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0x010100258AA79CEB83498886A3A0868112325000B0B8928D591D3342AA21DB0F77847991</vt:lpwstr>
  </property>
  <property fmtid="{D5CDD505-2E9C-101B-9397-08002B2CF9AE}" pid="3" name="IsMyDocuments">
    <vt:bool>true</vt:bool>
  </property>
</Properties>
</file>